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6353EE" w:rsidP="006353EE" w14:paraId="6028C2BC" w14:textId="248D330D">
      <w:pPr>
        <w:spacing w:after="0"/>
        <w:jc w:val="center"/>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 xml:space="preserve">PUC DOCKET NO. </w:t>
      </w:r>
      <w:r w:rsidRPr="006353EE" w:rsidR="004E3922">
        <w:rPr>
          <w:rFonts w:ascii="Times New Roman" w:hAnsi="Times New Roman" w:cs="Times New Roman"/>
          <w:b/>
          <w:bCs/>
          <w:sz w:val="24"/>
          <w:szCs w:val="24"/>
        </w:rPr>
        <w:t>5</w:t>
      </w:r>
      <w:r w:rsidR="00CE3DB6">
        <w:rPr>
          <w:rFonts w:ascii="Times New Roman" w:hAnsi="Times New Roman" w:cs="Times New Roman"/>
          <w:b/>
          <w:bCs/>
          <w:sz w:val="24"/>
          <w:szCs w:val="24"/>
        </w:rPr>
        <w:t>24</w:t>
      </w:r>
      <w:r w:rsidR="004E3922">
        <w:rPr>
          <w:rFonts w:ascii="Times New Roman" w:hAnsi="Times New Roman" w:cs="Times New Roman"/>
          <w:b/>
          <w:bCs/>
          <w:sz w:val="24"/>
          <w:szCs w:val="24"/>
        </w:rPr>
        <w:t>55</w:t>
      </w:r>
    </w:p>
    <w:p w:rsidR="00CE3DB6" w:rsidRPr="006353EE" w:rsidP="006353EE" w14:paraId="372F97E8" w14:textId="023F3020">
      <w:pPr>
        <w:spacing w:after="0"/>
        <w:jc w:val="center"/>
        <w:rPr>
          <w:rFonts w:ascii="Times New Roman" w:hAnsi="Times New Roman" w:cs="Times New Roman"/>
          <w:b/>
          <w:bCs/>
          <w:color w:val="auto"/>
          <w:sz w:val="24"/>
          <w:szCs w:val="24"/>
          <w:shd w:val="clear" w:color="auto" w:fill="auto"/>
        </w:rPr>
      </w:pPr>
      <w:r>
        <w:rPr>
          <w:rFonts w:ascii="Times New Roman" w:hAnsi="Times New Roman" w:cs="Times New Roman"/>
          <w:b/>
          <w:bCs/>
          <w:sz w:val="24"/>
          <w:szCs w:val="24"/>
        </w:rPr>
        <w:t>SOAH DOCKET NO. 473-22-0768</w:t>
      </w:r>
    </w:p>
    <w:p w:rsidR="006353EE" w:rsidRPr="006353EE" w:rsidP="006353EE" w14:paraId="16C393C5" w14:textId="77777777">
      <w:pPr>
        <w:spacing w:after="0"/>
        <w:rPr>
          <w:rFonts w:ascii="Times New Roman" w:hAnsi="Times New Roman" w:cs="Times New Roman"/>
          <w:b/>
          <w:bCs/>
          <w:color w:val="auto"/>
          <w:sz w:val="24"/>
          <w:szCs w:val="24"/>
          <w:shd w:val="clear" w:color="auto" w:fill="auto"/>
        </w:rPr>
      </w:pPr>
    </w:p>
    <w:tbl>
      <w:tblPr>
        <w:tblW w:w="0" w:type="auto"/>
        <w:tblLook w:val="0000"/>
      </w:tblPr>
      <w:tblGrid>
        <w:gridCol w:w="4844"/>
        <w:gridCol w:w="372"/>
        <w:gridCol w:w="4144"/>
      </w:tblGrid>
      <w:tr w14:paraId="256EDDE8" w14:textId="77777777" w:rsidTr="00C80AC8">
        <w:tblPrEx>
          <w:tblW w:w="0" w:type="auto"/>
          <w:tblLook w:val="0000"/>
        </w:tblPrEx>
        <w:tc>
          <w:tcPr>
            <w:tcW w:w="4970" w:type="dxa"/>
          </w:tcPr>
          <w:tbl>
            <w:tblPr>
              <w:tblW w:w="0" w:type="auto"/>
              <w:tblLook w:val="0000"/>
            </w:tblPr>
            <w:tblGrid>
              <w:gridCol w:w="4628"/>
            </w:tblGrid>
            <w:tr w14:paraId="04FA6AF4" w14:textId="77777777" w:rsidTr="00C80AC8">
              <w:tblPrEx>
                <w:tblW w:w="0" w:type="auto"/>
                <w:tblLook w:val="0000"/>
              </w:tblPrEx>
              <w:tc>
                <w:tcPr>
                  <w:tcW w:w="4970" w:type="dxa"/>
                </w:tcPr>
                <w:p w:rsidR="006353EE" w:rsidRPr="006353EE" w:rsidP="006353EE" w14:paraId="250D2969" w14:textId="1D97C500">
                  <w:pPr>
                    <w:spacing w:after="0"/>
                    <w:rPr>
                      <w:rFonts w:ascii="Times New Roman" w:hAnsi="Times New Roman" w:cs="Times New Roman"/>
                      <w:b/>
                      <w:bCs/>
                      <w:color w:val="auto"/>
                      <w:sz w:val="24"/>
                      <w:szCs w:val="24"/>
                      <w:shd w:val="clear" w:color="auto" w:fill="auto"/>
                    </w:rPr>
                  </w:pPr>
                  <w:r>
                    <w:rPr>
                      <w:rFonts w:ascii="Times New Roman" w:hAnsi="Times New Roman" w:cs="Times New Roman"/>
                      <w:b/>
                      <w:bCs/>
                      <w:sz w:val="24"/>
                      <w:szCs w:val="24"/>
                    </w:rPr>
                    <w:t>APPLICATION OF ONCOR ELECTRIC DELIVERY COMPANY LLC TO AMEND ITS CERTIFICATE OF CONVENIENCE AND NECESSITY FOR THE OLD COUNTRY SWITCH 345-KV TAP TRANSMISSION LINE IN ELLIS COUNTY</w:t>
                  </w:r>
                </w:p>
              </w:tc>
            </w:tr>
          </w:tbl>
          <w:p w:rsidR="006353EE" w:rsidRPr="006353EE" w:rsidP="006353EE" w14:paraId="15E5C2E6" w14:textId="77777777">
            <w:pPr>
              <w:spacing w:after="0"/>
              <w:rPr>
                <w:rFonts w:ascii="Times New Roman" w:hAnsi="Times New Roman" w:cs="Times New Roman"/>
                <w:b/>
                <w:bCs/>
                <w:color w:val="auto"/>
                <w:sz w:val="24"/>
                <w:szCs w:val="24"/>
                <w:shd w:val="clear" w:color="auto" w:fill="auto"/>
              </w:rPr>
            </w:pPr>
          </w:p>
        </w:tc>
        <w:tc>
          <w:tcPr>
            <w:tcW w:w="374" w:type="dxa"/>
          </w:tcPr>
          <w:p w:rsidR="006353EE" w:rsidRPr="006353EE" w:rsidP="006353EE" w14:paraId="2A72A422" w14:textId="77777777">
            <w:pPr>
              <w:spacing w:after="0"/>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w:t>
            </w:r>
          </w:p>
          <w:p w:rsidR="006353EE" w:rsidRPr="006353EE" w:rsidP="006353EE" w14:paraId="0B0F7722" w14:textId="77777777">
            <w:pPr>
              <w:spacing w:after="0"/>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w:t>
            </w:r>
          </w:p>
          <w:p w:rsidR="006353EE" w:rsidRPr="006353EE" w:rsidP="006353EE" w14:paraId="6B5A1177" w14:textId="77777777">
            <w:pPr>
              <w:spacing w:after="0"/>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w:t>
            </w:r>
          </w:p>
          <w:p w:rsidR="006353EE" w:rsidRPr="006353EE" w:rsidP="006353EE" w14:paraId="795CF252" w14:textId="77777777">
            <w:pPr>
              <w:spacing w:after="0"/>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w:t>
            </w:r>
          </w:p>
          <w:p w:rsidR="006353EE" w:rsidRPr="006353EE" w:rsidP="006353EE" w14:paraId="7DC929CC" w14:textId="77777777">
            <w:pPr>
              <w:spacing w:after="0"/>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w:t>
            </w:r>
          </w:p>
          <w:p w:rsidR="006353EE" w:rsidRPr="006353EE" w:rsidP="006353EE" w14:paraId="29557A9C" w14:textId="77777777">
            <w:pPr>
              <w:spacing w:after="0"/>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w:t>
            </w:r>
          </w:p>
          <w:p w:rsidR="006353EE" w:rsidRPr="000D028C" w:rsidP="006353EE" w14:paraId="7CFF571C" w14:textId="7E01304D">
            <w:pPr>
              <w:spacing w:after="0"/>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w:t>
            </w:r>
          </w:p>
        </w:tc>
        <w:tc>
          <w:tcPr>
            <w:tcW w:w="4232" w:type="dxa"/>
          </w:tcPr>
          <w:p w:rsidR="009526C6" w:rsidRPr="006353EE" w:rsidP="00CE3DB6" w14:paraId="3B11D1D8" w14:textId="4275BCBA">
            <w:pPr>
              <w:spacing w:after="0"/>
              <w:jc w:val="center"/>
              <w:rPr>
                <w:rFonts w:ascii="Times New Roman" w:hAnsi="Times New Roman" w:cs="Times New Roman"/>
                <w:b/>
                <w:bCs/>
                <w:color w:val="auto"/>
                <w:sz w:val="24"/>
                <w:szCs w:val="24"/>
                <w:shd w:val="clear" w:color="auto" w:fill="auto"/>
              </w:rPr>
            </w:pPr>
            <w:r>
              <w:rPr>
                <w:rFonts w:ascii="Times New Roman" w:hAnsi="Times New Roman" w:cs="Times New Roman"/>
                <w:b/>
                <w:bCs/>
                <w:sz w:val="24"/>
                <w:szCs w:val="24"/>
              </w:rPr>
              <w:t>BEFORE THE</w:t>
            </w:r>
            <w:r w:rsidR="00CE3DB6">
              <w:rPr>
                <w:rFonts w:ascii="Times New Roman" w:hAnsi="Times New Roman" w:cs="Times New Roman"/>
                <w:b/>
                <w:bCs/>
                <w:sz w:val="24"/>
                <w:szCs w:val="24"/>
              </w:rPr>
              <w:t xml:space="preserve"> STATE</w:t>
            </w:r>
          </w:p>
          <w:p w:rsidR="006353EE" w:rsidRPr="006353EE" w:rsidP="00CE3DB6" w14:paraId="0BE78B5F" w14:textId="77777777">
            <w:pPr>
              <w:spacing w:after="0"/>
              <w:jc w:val="center"/>
              <w:rPr>
                <w:rFonts w:ascii="Times New Roman" w:hAnsi="Times New Roman" w:cs="Times New Roman"/>
                <w:b/>
                <w:bCs/>
                <w:color w:val="auto"/>
                <w:sz w:val="24"/>
                <w:szCs w:val="24"/>
                <w:shd w:val="clear" w:color="auto" w:fill="auto"/>
              </w:rPr>
            </w:pPr>
          </w:p>
          <w:p w:rsidR="00CE3DB6" w:rsidP="00CE3DB6" w14:paraId="43559CEE" w14:textId="77777777">
            <w:pPr>
              <w:spacing w:after="0"/>
              <w:jc w:val="center"/>
              <w:rPr>
                <w:rFonts w:ascii="Times New Roman" w:hAnsi="Times New Roman" w:cs="Times New Roman"/>
                <w:b/>
                <w:bCs/>
                <w:color w:val="auto"/>
                <w:sz w:val="24"/>
                <w:szCs w:val="24"/>
                <w:shd w:val="clear" w:color="auto" w:fill="auto"/>
              </w:rPr>
            </w:pPr>
          </w:p>
          <w:p w:rsidR="00CE3DB6" w:rsidP="00CE3DB6" w14:paraId="46547E6C" w14:textId="7AEA0929">
            <w:pPr>
              <w:spacing w:after="0"/>
              <w:jc w:val="center"/>
              <w:rPr>
                <w:rFonts w:ascii="Times New Roman" w:hAnsi="Times New Roman" w:cs="Times New Roman"/>
                <w:b/>
                <w:bCs/>
                <w:color w:val="auto"/>
                <w:sz w:val="24"/>
                <w:szCs w:val="24"/>
                <w:shd w:val="clear" w:color="auto" w:fill="auto"/>
              </w:rPr>
            </w:pPr>
            <w:r>
              <w:rPr>
                <w:rFonts w:ascii="Times New Roman" w:hAnsi="Times New Roman" w:cs="Times New Roman"/>
                <w:b/>
                <w:bCs/>
                <w:sz w:val="24"/>
                <w:szCs w:val="24"/>
              </w:rPr>
              <w:t>OFFICE OF</w:t>
            </w:r>
          </w:p>
          <w:p w:rsidR="00CE3DB6" w:rsidP="00CE3DB6" w14:paraId="4675C667" w14:textId="77777777">
            <w:pPr>
              <w:spacing w:after="0"/>
              <w:jc w:val="center"/>
              <w:rPr>
                <w:rFonts w:ascii="Times New Roman" w:hAnsi="Times New Roman" w:cs="Times New Roman"/>
                <w:b/>
                <w:bCs/>
                <w:color w:val="auto"/>
                <w:sz w:val="24"/>
                <w:szCs w:val="24"/>
                <w:shd w:val="clear" w:color="auto" w:fill="auto"/>
              </w:rPr>
            </w:pPr>
          </w:p>
          <w:p w:rsidR="00CE3DB6" w:rsidP="00CE3DB6" w14:paraId="253BC346" w14:textId="77777777">
            <w:pPr>
              <w:spacing w:after="0"/>
              <w:jc w:val="center"/>
              <w:rPr>
                <w:rFonts w:ascii="Times New Roman" w:hAnsi="Times New Roman" w:cs="Times New Roman"/>
                <w:b/>
                <w:bCs/>
                <w:color w:val="auto"/>
                <w:sz w:val="24"/>
                <w:szCs w:val="24"/>
                <w:shd w:val="clear" w:color="auto" w:fill="auto"/>
              </w:rPr>
            </w:pPr>
          </w:p>
          <w:p w:rsidR="006353EE" w:rsidRPr="006353EE" w:rsidP="00CE3DB6" w14:paraId="03E651EC" w14:textId="00BF1971">
            <w:pPr>
              <w:spacing w:after="0"/>
              <w:jc w:val="center"/>
              <w:rPr>
                <w:rFonts w:ascii="Times New Roman" w:hAnsi="Times New Roman" w:cs="Times New Roman"/>
                <w:b/>
                <w:bCs/>
                <w:color w:val="auto"/>
                <w:sz w:val="24"/>
                <w:szCs w:val="24"/>
                <w:shd w:val="clear" w:color="auto" w:fill="auto"/>
              </w:rPr>
            </w:pPr>
            <w:r>
              <w:rPr>
                <w:rFonts w:ascii="Times New Roman" w:hAnsi="Times New Roman" w:cs="Times New Roman"/>
                <w:b/>
                <w:bCs/>
                <w:sz w:val="24"/>
                <w:szCs w:val="24"/>
              </w:rPr>
              <w:t>ADMINISTRATIVE HEARINGS</w:t>
            </w:r>
          </w:p>
          <w:p w:rsidR="006353EE" w:rsidRPr="006353EE" w:rsidP="00CE3DB6" w14:paraId="35E175BF" w14:textId="77777777">
            <w:pPr>
              <w:spacing w:after="0"/>
              <w:jc w:val="center"/>
              <w:rPr>
                <w:rFonts w:ascii="Times New Roman" w:hAnsi="Times New Roman" w:cs="Times New Roman"/>
                <w:b/>
                <w:bCs/>
                <w:color w:val="auto"/>
                <w:sz w:val="24"/>
                <w:szCs w:val="24"/>
                <w:shd w:val="clear" w:color="auto" w:fill="auto"/>
              </w:rPr>
            </w:pPr>
          </w:p>
        </w:tc>
      </w:tr>
    </w:tbl>
    <w:p w:rsidR="00FD27BA" w:rsidRPr="00D870AD" w:rsidP="00FD27BA" w14:paraId="2943C5A1" w14:textId="77777777">
      <w:pPr>
        <w:spacing w:after="0"/>
        <w:rPr>
          <w:rFonts w:ascii="Times New Roman" w:hAnsi="Times New Roman" w:cs="Times New Roman"/>
          <w:b/>
          <w:color w:val="auto"/>
          <w:shd w:val="clear" w:color="auto" w:fill="auto"/>
        </w:rPr>
      </w:pPr>
    </w:p>
    <w:p w:rsidR="00010F11" w:rsidP="00FD27BA" w14:paraId="085258C5" w14:textId="77777777">
      <w:pPr>
        <w:spacing w:after="0"/>
        <w:jc w:val="center"/>
        <w:rPr>
          <w:rFonts w:ascii="Times New Roman" w:hAnsi="Times New Roman" w:cs="Times New Roman"/>
          <w:b/>
          <w:color w:val="auto"/>
          <w:sz w:val="24"/>
          <w:szCs w:val="24"/>
          <w:shd w:val="clear" w:color="auto" w:fill="auto"/>
        </w:rPr>
      </w:pPr>
      <w:r w:rsidRPr="00010F11">
        <w:rPr>
          <w:rFonts w:ascii="Times New Roman" w:hAnsi="Times New Roman" w:cs="Times New Roman"/>
          <w:b/>
          <w:sz w:val="24"/>
          <w:szCs w:val="24"/>
        </w:rPr>
        <w:t>ONCOR ELECTRIC DELIVERY</w:t>
      </w:r>
      <w:r w:rsidRPr="00010F11" w:rsidR="0013607E">
        <w:rPr>
          <w:rFonts w:ascii="Times New Roman" w:hAnsi="Times New Roman" w:cs="Times New Roman"/>
          <w:b/>
          <w:sz w:val="24"/>
          <w:szCs w:val="24"/>
        </w:rPr>
        <w:t xml:space="preserve"> COMPANY</w:t>
      </w:r>
      <w:r w:rsidRPr="00010F11">
        <w:rPr>
          <w:rFonts w:ascii="Times New Roman" w:hAnsi="Times New Roman" w:cs="Times New Roman"/>
          <w:b/>
          <w:sz w:val="24"/>
          <w:szCs w:val="24"/>
        </w:rPr>
        <w:t xml:space="preserve">’S </w:t>
      </w:r>
    </w:p>
    <w:p w:rsidR="00FD27BA" w:rsidRPr="00010F11" w:rsidP="00FD27BA" w14:paraId="28017BBE" w14:textId="5A24334A">
      <w:pPr>
        <w:spacing w:after="0"/>
        <w:jc w:val="center"/>
        <w:rPr>
          <w:rFonts w:ascii="Times New Roman" w:hAnsi="Times New Roman" w:cs="Times New Roman"/>
          <w:b/>
          <w:color w:val="auto"/>
          <w:sz w:val="24"/>
          <w:szCs w:val="24"/>
          <w:shd w:val="clear" w:color="auto" w:fill="auto"/>
        </w:rPr>
      </w:pPr>
      <w:r w:rsidRPr="00010F11">
        <w:rPr>
          <w:rFonts w:ascii="Times New Roman" w:hAnsi="Times New Roman" w:cs="Times New Roman"/>
          <w:b/>
          <w:sz w:val="24"/>
          <w:szCs w:val="24"/>
        </w:rPr>
        <w:t>REQUEST TO ADDRESS TEXAS PARK</w:t>
      </w:r>
      <w:r w:rsidRPr="00010F11" w:rsidR="0082034A">
        <w:rPr>
          <w:rFonts w:ascii="Times New Roman" w:hAnsi="Times New Roman" w:cs="Times New Roman"/>
          <w:b/>
          <w:sz w:val="24"/>
          <w:szCs w:val="24"/>
        </w:rPr>
        <w:t>S</w:t>
      </w:r>
      <w:r w:rsidRPr="00010F11">
        <w:rPr>
          <w:rFonts w:ascii="Times New Roman" w:hAnsi="Times New Roman" w:cs="Times New Roman"/>
          <w:b/>
          <w:sz w:val="24"/>
          <w:szCs w:val="24"/>
        </w:rPr>
        <w:t xml:space="preserve"> AND WI</w:t>
      </w:r>
      <w:bookmarkStart w:id="0" w:name="_GoBack"/>
      <w:r w:rsidRPr="00010F11">
        <w:rPr>
          <w:rFonts w:ascii="Times New Roman" w:hAnsi="Times New Roman" w:cs="Times New Roman"/>
          <w:b/>
          <w:sz w:val="24"/>
          <w:szCs w:val="24"/>
        </w:rPr>
        <w:t>L</w:t>
      </w:r>
      <w:bookmarkEnd w:id="0"/>
      <w:r w:rsidRPr="00010F11">
        <w:rPr>
          <w:rFonts w:ascii="Times New Roman" w:hAnsi="Times New Roman" w:cs="Times New Roman"/>
          <w:b/>
          <w:sz w:val="24"/>
          <w:szCs w:val="24"/>
        </w:rPr>
        <w:t xml:space="preserve">DLIFE DEPARTMENT </w:t>
      </w:r>
      <w:r w:rsidRPr="00010F11">
        <w:rPr>
          <w:rFonts w:ascii="Times New Roman" w:hAnsi="Times New Roman" w:cs="Times New Roman"/>
          <w:b/>
          <w:sz w:val="24"/>
          <w:szCs w:val="24"/>
          <w:u w:val="single"/>
        </w:rPr>
        <w:t>RECOMMENDATIONS AT THE INITIAL PREHEARING CONFERENCE</w:t>
      </w:r>
      <w:r w:rsidRPr="00010F11">
        <w:rPr>
          <w:rFonts w:ascii="Times New Roman" w:hAnsi="Times New Roman" w:cs="Times New Roman"/>
          <w:b/>
          <w:sz w:val="24"/>
          <w:szCs w:val="24"/>
        </w:rPr>
        <w:t xml:space="preserve">  </w:t>
      </w:r>
    </w:p>
    <w:p w:rsidR="00CC15F3" w:rsidP="00FD27BA" w14:paraId="5BF50216" w14:textId="77777777">
      <w:pPr>
        <w:spacing w:after="0"/>
        <w:rPr>
          <w:rFonts w:ascii="Times New Roman" w:hAnsi="Times New Roman" w:cs="Times New Roman"/>
          <w:color w:val="auto"/>
          <w:sz w:val="24"/>
          <w:szCs w:val="24"/>
          <w:shd w:val="clear" w:color="auto" w:fill="auto"/>
        </w:rPr>
      </w:pPr>
    </w:p>
    <w:p w:rsidR="007B7755" w:rsidP="00075018" w14:paraId="58ABFF57" w14:textId="7B271D01">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sidRPr="006353EE">
        <w:rPr>
          <w:rFonts w:ascii="Times New Roman" w:hAnsi="Times New Roman" w:cs="Times New Roman"/>
          <w:sz w:val="24"/>
          <w:szCs w:val="24"/>
        </w:rPr>
        <w:t xml:space="preserve">Oncor Electric Delivery Company LLC (“Oncor”) </w:t>
      </w:r>
      <w:r w:rsidR="00CE3DB6">
        <w:rPr>
          <w:rFonts w:ascii="Times New Roman" w:hAnsi="Times New Roman" w:cs="Times New Roman"/>
          <w:sz w:val="24"/>
          <w:szCs w:val="24"/>
        </w:rPr>
        <w:t xml:space="preserve">submits this </w:t>
      </w:r>
      <w:r w:rsidR="004C046B">
        <w:rPr>
          <w:rFonts w:ascii="Times New Roman" w:hAnsi="Times New Roman" w:cs="Times New Roman"/>
          <w:sz w:val="24"/>
          <w:szCs w:val="24"/>
        </w:rPr>
        <w:t>request to address</w:t>
      </w:r>
      <w:r w:rsidR="00616003">
        <w:rPr>
          <w:rFonts w:ascii="Times New Roman" w:hAnsi="Times New Roman" w:cs="Times New Roman"/>
          <w:sz w:val="24"/>
          <w:szCs w:val="24"/>
        </w:rPr>
        <w:t xml:space="preserve"> the</w:t>
      </w:r>
      <w:r w:rsidR="00CE3DB6">
        <w:rPr>
          <w:rFonts w:ascii="Times New Roman" w:hAnsi="Times New Roman" w:cs="Times New Roman"/>
          <w:sz w:val="24"/>
          <w:szCs w:val="24"/>
        </w:rPr>
        <w:t xml:space="preserve"> Texas Parks and Wildlife Department</w:t>
      </w:r>
      <w:r w:rsidR="00616003">
        <w:rPr>
          <w:rFonts w:ascii="Times New Roman" w:hAnsi="Times New Roman" w:cs="Times New Roman"/>
          <w:sz w:val="24"/>
          <w:szCs w:val="24"/>
        </w:rPr>
        <w:t>’s</w:t>
      </w:r>
      <w:r w:rsidR="00CE3DB6">
        <w:rPr>
          <w:rFonts w:ascii="Times New Roman" w:hAnsi="Times New Roman" w:cs="Times New Roman"/>
          <w:sz w:val="24"/>
          <w:szCs w:val="24"/>
        </w:rPr>
        <w:t xml:space="preserve"> (“TPWD</w:t>
      </w:r>
      <w:r w:rsidR="00616003">
        <w:rPr>
          <w:rFonts w:ascii="Times New Roman" w:hAnsi="Times New Roman" w:cs="Times New Roman"/>
          <w:sz w:val="24"/>
          <w:szCs w:val="24"/>
        </w:rPr>
        <w:t>’s</w:t>
      </w:r>
      <w:r w:rsidR="00CE3DB6">
        <w:rPr>
          <w:rFonts w:ascii="Times New Roman" w:hAnsi="Times New Roman" w:cs="Times New Roman"/>
          <w:sz w:val="24"/>
          <w:szCs w:val="24"/>
        </w:rPr>
        <w:t>”)</w:t>
      </w:r>
      <w:r w:rsidR="004C046B">
        <w:rPr>
          <w:rFonts w:ascii="Times New Roman" w:hAnsi="Times New Roman" w:cs="Times New Roman"/>
          <w:sz w:val="24"/>
          <w:szCs w:val="24"/>
        </w:rPr>
        <w:t xml:space="preserve"> recommendations at the initial prehearing conference</w:t>
      </w:r>
      <w:r w:rsidR="00CE3DB6">
        <w:rPr>
          <w:rFonts w:ascii="Times New Roman" w:hAnsi="Times New Roman" w:cs="Times New Roman"/>
          <w:sz w:val="24"/>
          <w:szCs w:val="24"/>
        </w:rPr>
        <w:t>, and would respectfully show as follows:</w:t>
      </w:r>
    </w:p>
    <w:p w:rsidR="00262329" w:rsidP="00075018" w14:paraId="02E1D877" w14:textId="573F838E">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Pr>
          <w:rFonts w:ascii="Times New Roman" w:hAnsi="Times New Roman" w:cs="Times New Roman"/>
          <w:sz w:val="24"/>
          <w:szCs w:val="24"/>
        </w:rPr>
        <w:t xml:space="preserve">On August 26, 2021, Oncor filed </w:t>
      </w:r>
      <w:r w:rsidR="00CE3DB6">
        <w:rPr>
          <w:rFonts w:ascii="Times New Roman" w:hAnsi="Times New Roman" w:cs="Times New Roman"/>
          <w:sz w:val="24"/>
          <w:szCs w:val="24"/>
        </w:rPr>
        <w:t>an application (the “Application”) for a certificate of convenience and necessity</w:t>
      </w:r>
      <w:r w:rsidR="005E42A0">
        <w:rPr>
          <w:rFonts w:ascii="Times New Roman" w:hAnsi="Times New Roman" w:cs="Times New Roman"/>
          <w:sz w:val="24"/>
          <w:szCs w:val="24"/>
        </w:rPr>
        <w:t xml:space="preserve"> </w:t>
      </w:r>
      <w:r w:rsidR="00CE3DB6">
        <w:rPr>
          <w:rFonts w:ascii="Times New Roman" w:hAnsi="Times New Roman" w:cs="Times New Roman"/>
          <w:sz w:val="24"/>
          <w:szCs w:val="24"/>
        </w:rPr>
        <w:t xml:space="preserve">(“CCN”) </w:t>
      </w:r>
      <w:r>
        <w:rPr>
          <w:rFonts w:ascii="Times New Roman" w:hAnsi="Times New Roman" w:cs="Times New Roman"/>
          <w:sz w:val="24"/>
          <w:szCs w:val="24"/>
        </w:rPr>
        <w:t xml:space="preserve">with the </w:t>
      </w:r>
      <w:r w:rsidR="00F52324">
        <w:rPr>
          <w:rFonts w:ascii="Times New Roman" w:hAnsi="Times New Roman" w:cs="Times New Roman"/>
          <w:sz w:val="24"/>
          <w:szCs w:val="24"/>
        </w:rPr>
        <w:t>Public Utility Commission of Texas (</w:t>
      </w:r>
      <w:r w:rsidR="00A911AB">
        <w:rPr>
          <w:rFonts w:ascii="Times New Roman" w:hAnsi="Times New Roman" w:cs="Times New Roman"/>
          <w:sz w:val="24"/>
          <w:szCs w:val="24"/>
        </w:rPr>
        <w:t xml:space="preserve">the </w:t>
      </w:r>
      <w:r w:rsidR="00F52324">
        <w:rPr>
          <w:rFonts w:ascii="Times New Roman" w:hAnsi="Times New Roman" w:cs="Times New Roman"/>
          <w:sz w:val="24"/>
          <w:szCs w:val="24"/>
        </w:rPr>
        <w:t>“</w:t>
      </w:r>
      <w:r>
        <w:rPr>
          <w:rFonts w:ascii="Times New Roman" w:hAnsi="Times New Roman" w:cs="Times New Roman"/>
          <w:sz w:val="24"/>
          <w:szCs w:val="24"/>
        </w:rPr>
        <w:t>Commission</w:t>
      </w:r>
      <w:r w:rsidR="00F52324">
        <w:rPr>
          <w:rFonts w:ascii="Times New Roman" w:hAnsi="Times New Roman" w:cs="Times New Roman"/>
          <w:sz w:val="24"/>
          <w:szCs w:val="24"/>
        </w:rPr>
        <w:t>”)</w:t>
      </w:r>
      <w:r w:rsidR="00CE3DB6">
        <w:rPr>
          <w:rFonts w:ascii="Times New Roman" w:hAnsi="Times New Roman" w:cs="Times New Roman"/>
          <w:sz w:val="24"/>
          <w:szCs w:val="24"/>
        </w:rPr>
        <w:t xml:space="preserve"> for the Old Country Switch 345</w:t>
      </w:r>
      <w:r w:rsidR="0082034A">
        <w:rPr>
          <w:rFonts w:ascii="Times New Roman" w:hAnsi="Times New Roman" w:cs="Times New Roman"/>
          <w:sz w:val="24"/>
          <w:szCs w:val="24"/>
        </w:rPr>
        <w:t>-</w:t>
      </w:r>
      <w:r w:rsidR="00CE3DB6">
        <w:rPr>
          <w:rFonts w:ascii="Times New Roman" w:hAnsi="Times New Roman" w:cs="Times New Roman"/>
          <w:sz w:val="24"/>
          <w:szCs w:val="24"/>
        </w:rPr>
        <w:t>kV transmission line project (the “Project”)</w:t>
      </w:r>
      <w:r w:rsidR="00412668">
        <w:rPr>
          <w:rFonts w:ascii="Times New Roman" w:hAnsi="Times New Roman" w:cs="Times New Roman"/>
          <w:sz w:val="24"/>
          <w:szCs w:val="24"/>
        </w:rPr>
        <w:t xml:space="preserve">.  </w:t>
      </w:r>
      <w:r>
        <w:rPr>
          <w:rFonts w:ascii="Times New Roman" w:hAnsi="Times New Roman" w:cs="Times New Roman"/>
          <w:sz w:val="24"/>
          <w:szCs w:val="24"/>
        </w:rPr>
        <w:t>Attached to</w:t>
      </w:r>
      <w:r w:rsidR="00CE3DB6">
        <w:rPr>
          <w:rFonts w:ascii="Times New Roman" w:hAnsi="Times New Roman" w:cs="Times New Roman"/>
          <w:sz w:val="24"/>
          <w:szCs w:val="24"/>
        </w:rPr>
        <w:t xml:space="preserve"> the Application was an Environmental Assessment and Routing Study </w:t>
      </w:r>
      <w:r w:rsidR="00FC0291">
        <w:rPr>
          <w:rFonts w:ascii="Times New Roman" w:hAnsi="Times New Roman" w:cs="Times New Roman"/>
          <w:sz w:val="24"/>
          <w:szCs w:val="24"/>
        </w:rPr>
        <w:t>that</w:t>
      </w:r>
      <w:r w:rsidR="0013607E">
        <w:rPr>
          <w:rFonts w:ascii="Times New Roman" w:hAnsi="Times New Roman" w:cs="Times New Roman"/>
          <w:sz w:val="24"/>
          <w:szCs w:val="24"/>
        </w:rPr>
        <w:t xml:space="preserve"> </w:t>
      </w:r>
      <w:r>
        <w:rPr>
          <w:rFonts w:ascii="Times New Roman" w:hAnsi="Times New Roman" w:cs="Times New Roman"/>
          <w:sz w:val="24"/>
          <w:szCs w:val="24"/>
        </w:rPr>
        <w:t>included correspondence between Oncor and TPW</w:t>
      </w:r>
      <w:r w:rsidR="00A35DE0">
        <w:rPr>
          <w:rFonts w:ascii="Times New Roman" w:hAnsi="Times New Roman" w:cs="Times New Roman"/>
          <w:sz w:val="24"/>
          <w:szCs w:val="24"/>
        </w:rPr>
        <w:t>D</w:t>
      </w:r>
      <w:r w:rsidR="00A911AB">
        <w:rPr>
          <w:rFonts w:ascii="Times New Roman" w:hAnsi="Times New Roman" w:cs="Times New Roman"/>
          <w:sz w:val="24"/>
          <w:szCs w:val="24"/>
        </w:rPr>
        <w:t>,</w:t>
      </w:r>
      <w:r w:rsidR="00A35DE0">
        <w:rPr>
          <w:rFonts w:ascii="Times New Roman" w:hAnsi="Times New Roman" w:cs="Times New Roman"/>
          <w:sz w:val="24"/>
          <w:szCs w:val="24"/>
        </w:rPr>
        <w:t xml:space="preserve"> in</w:t>
      </w:r>
      <w:r>
        <w:rPr>
          <w:rFonts w:ascii="Times New Roman" w:hAnsi="Times New Roman" w:cs="Times New Roman"/>
          <w:sz w:val="24"/>
          <w:szCs w:val="24"/>
        </w:rPr>
        <w:t xml:space="preserve"> which TPWD provided recommendations for</w:t>
      </w:r>
      <w:r w:rsidR="00E72DDB">
        <w:rPr>
          <w:rFonts w:ascii="Times New Roman" w:hAnsi="Times New Roman" w:cs="Times New Roman"/>
          <w:sz w:val="24"/>
          <w:szCs w:val="24"/>
        </w:rPr>
        <w:t xml:space="preserve"> protecting fish and wildlife resources during</w:t>
      </w:r>
      <w:r>
        <w:rPr>
          <w:rFonts w:ascii="Times New Roman" w:hAnsi="Times New Roman" w:cs="Times New Roman"/>
          <w:sz w:val="24"/>
          <w:szCs w:val="24"/>
        </w:rPr>
        <w:t xml:space="preserve"> </w:t>
      </w:r>
      <w:r w:rsidR="00FC0291">
        <w:rPr>
          <w:rFonts w:ascii="Times New Roman" w:hAnsi="Times New Roman" w:cs="Times New Roman"/>
          <w:sz w:val="24"/>
          <w:szCs w:val="24"/>
        </w:rPr>
        <w:t xml:space="preserve">the </w:t>
      </w:r>
      <w:r>
        <w:rPr>
          <w:rFonts w:ascii="Times New Roman" w:hAnsi="Times New Roman" w:cs="Times New Roman"/>
          <w:sz w:val="24"/>
          <w:szCs w:val="24"/>
        </w:rPr>
        <w:t>construction</w:t>
      </w:r>
      <w:r w:rsidR="00FC0291">
        <w:rPr>
          <w:rFonts w:ascii="Times New Roman" w:hAnsi="Times New Roman" w:cs="Times New Roman"/>
          <w:sz w:val="24"/>
          <w:szCs w:val="24"/>
        </w:rPr>
        <w:t xml:space="preserve"> process</w:t>
      </w:r>
      <w:r>
        <w:rPr>
          <w:rFonts w:ascii="Times New Roman" w:hAnsi="Times New Roman" w:cs="Times New Roman"/>
          <w:sz w:val="24"/>
          <w:szCs w:val="24"/>
        </w:rPr>
        <w:t>.  On October 27, 202</w:t>
      </w:r>
      <w:r w:rsidR="0082034A">
        <w:rPr>
          <w:rFonts w:ascii="Times New Roman" w:hAnsi="Times New Roman" w:cs="Times New Roman"/>
          <w:sz w:val="24"/>
          <w:szCs w:val="24"/>
        </w:rPr>
        <w:t>1</w:t>
      </w:r>
      <w:r>
        <w:rPr>
          <w:rFonts w:ascii="Times New Roman" w:hAnsi="Times New Roman" w:cs="Times New Roman"/>
          <w:sz w:val="24"/>
          <w:szCs w:val="24"/>
        </w:rPr>
        <w:t xml:space="preserve">, TPWD filed a letter </w:t>
      </w:r>
      <w:r w:rsidR="005854D0">
        <w:rPr>
          <w:rFonts w:ascii="Times New Roman" w:hAnsi="Times New Roman" w:cs="Times New Roman"/>
          <w:sz w:val="24"/>
          <w:szCs w:val="24"/>
        </w:rPr>
        <w:t xml:space="preserve">to the Commission </w:t>
      </w:r>
      <w:r>
        <w:rPr>
          <w:rFonts w:ascii="Times New Roman" w:hAnsi="Times New Roman" w:cs="Times New Roman"/>
          <w:sz w:val="24"/>
          <w:szCs w:val="24"/>
        </w:rPr>
        <w:t>in this docket</w:t>
      </w:r>
      <w:r w:rsidR="00E72DDB">
        <w:rPr>
          <w:rFonts w:ascii="Times New Roman" w:hAnsi="Times New Roman" w:cs="Times New Roman"/>
          <w:sz w:val="24"/>
          <w:szCs w:val="24"/>
        </w:rPr>
        <w:t xml:space="preserve"> with additional recommendations and proposed beneficial management practices for </w:t>
      </w:r>
      <w:r w:rsidR="005854D0">
        <w:rPr>
          <w:rFonts w:ascii="Times New Roman" w:hAnsi="Times New Roman" w:cs="Times New Roman"/>
          <w:sz w:val="24"/>
          <w:szCs w:val="24"/>
        </w:rPr>
        <w:t xml:space="preserve">the </w:t>
      </w:r>
      <w:r w:rsidR="00A35DE0">
        <w:rPr>
          <w:rFonts w:ascii="Times New Roman" w:hAnsi="Times New Roman" w:cs="Times New Roman"/>
          <w:sz w:val="24"/>
          <w:szCs w:val="24"/>
        </w:rPr>
        <w:t>P</w:t>
      </w:r>
      <w:r w:rsidR="005854D0">
        <w:rPr>
          <w:rFonts w:ascii="Times New Roman" w:hAnsi="Times New Roman" w:cs="Times New Roman"/>
          <w:sz w:val="24"/>
          <w:szCs w:val="24"/>
        </w:rPr>
        <w:t>roject.</w:t>
      </w:r>
      <w:r w:rsidR="008C052E">
        <w:rPr>
          <w:rFonts w:ascii="Times New Roman" w:hAnsi="Times New Roman" w:cs="Times New Roman"/>
          <w:sz w:val="24"/>
          <w:szCs w:val="24"/>
        </w:rPr>
        <w:t xml:space="preserve">  </w:t>
      </w:r>
    </w:p>
    <w:p w:rsidR="00AC2301" w:rsidP="00075018" w14:paraId="332F4CD9" w14:textId="253F5F44">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Pr>
          <w:rFonts w:ascii="Times New Roman" w:hAnsi="Times New Roman" w:cs="Times New Roman"/>
          <w:sz w:val="24"/>
          <w:szCs w:val="24"/>
        </w:rPr>
        <w:t>On November 10, 2021, the Commission’s Office of Policy &amp; Docket Management issued an Order of Referral and Preliminary Order</w:t>
      </w:r>
      <w:r w:rsidR="00616003">
        <w:rPr>
          <w:rFonts w:ascii="Times New Roman" w:hAnsi="Times New Roman" w:cs="Times New Roman"/>
          <w:sz w:val="24"/>
          <w:szCs w:val="24"/>
        </w:rPr>
        <w:t xml:space="preserve"> (</w:t>
      </w:r>
      <w:r w:rsidR="00865600">
        <w:rPr>
          <w:rFonts w:ascii="Times New Roman" w:hAnsi="Times New Roman" w:cs="Times New Roman"/>
          <w:sz w:val="24"/>
          <w:szCs w:val="24"/>
        </w:rPr>
        <w:t xml:space="preserve">the </w:t>
      </w:r>
      <w:r w:rsidR="00616003">
        <w:rPr>
          <w:rFonts w:ascii="Times New Roman" w:hAnsi="Times New Roman" w:cs="Times New Roman"/>
          <w:sz w:val="24"/>
          <w:szCs w:val="24"/>
        </w:rPr>
        <w:t>“Preliminary Order”)</w:t>
      </w:r>
      <w:r>
        <w:rPr>
          <w:rFonts w:ascii="Times New Roman" w:hAnsi="Times New Roman" w:cs="Times New Roman"/>
          <w:sz w:val="24"/>
          <w:szCs w:val="24"/>
        </w:rPr>
        <w:t xml:space="preserve">, which provided a list of issues to be addressed in this proceeding.  Among </w:t>
      </w:r>
      <w:r w:rsidR="0043339D">
        <w:rPr>
          <w:rFonts w:ascii="Times New Roman" w:hAnsi="Times New Roman" w:cs="Times New Roman"/>
          <w:sz w:val="24"/>
          <w:szCs w:val="24"/>
        </w:rPr>
        <w:t>them</w:t>
      </w:r>
      <w:r>
        <w:rPr>
          <w:rFonts w:ascii="Times New Roman" w:hAnsi="Times New Roman" w:cs="Times New Roman"/>
          <w:sz w:val="24"/>
          <w:szCs w:val="24"/>
        </w:rPr>
        <w:t xml:space="preserve"> was the issue of what, if any, modifications, conditions, limitations, or other disposition should be made of any TPWD recommendations and whether any of TPWD’s recommendations should not be incorporated in the </w:t>
      </w:r>
      <w:r w:rsidR="00616003">
        <w:rPr>
          <w:rFonts w:ascii="Times New Roman" w:hAnsi="Times New Roman" w:cs="Times New Roman"/>
          <w:sz w:val="24"/>
          <w:szCs w:val="24"/>
        </w:rPr>
        <w:t xml:space="preserve">Commission’s </w:t>
      </w:r>
      <w:r>
        <w:rPr>
          <w:rFonts w:ascii="Times New Roman" w:hAnsi="Times New Roman" w:cs="Times New Roman"/>
          <w:sz w:val="24"/>
          <w:szCs w:val="24"/>
        </w:rPr>
        <w:t xml:space="preserve">final order regarding the Project.  </w:t>
      </w:r>
    </w:p>
    <w:p w:rsidR="00AC2301" w:rsidP="00075018" w14:paraId="31DDB9F9" w14:textId="328860F3">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Pr>
          <w:rFonts w:ascii="Times New Roman" w:hAnsi="Times New Roman" w:cs="Times New Roman"/>
          <w:sz w:val="24"/>
          <w:szCs w:val="24"/>
        </w:rPr>
        <w:t>On November 16, 2021, the State Office of Administrative Hearings (“SOAH”) issued SOAH Order No. 1</w:t>
      </w:r>
      <w:r w:rsidR="0082034A">
        <w:rPr>
          <w:rFonts w:ascii="Times New Roman" w:hAnsi="Times New Roman" w:cs="Times New Roman"/>
          <w:sz w:val="24"/>
          <w:szCs w:val="24"/>
        </w:rPr>
        <w:t xml:space="preserve"> in this docket</w:t>
      </w:r>
      <w:r>
        <w:rPr>
          <w:rFonts w:ascii="Times New Roman" w:hAnsi="Times New Roman" w:cs="Times New Roman"/>
          <w:sz w:val="24"/>
          <w:szCs w:val="24"/>
        </w:rPr>
        <w:t xml:space="preserve">, which set a date of December 10, 2021 for the </w:t>
      </w:r>
      <w:r w:rsidR="00616003">
        <w:rPr>
          <w:rFonts w:ascii="Times New Roman" w:hAnsi="Times New Roman" w:cs="Times New Roman"/>
          <w:sz w:val="24"/>
          <w:szCs w:val="24"/>
        </w:rPr>
        <w:t xml:space="preserve">initial </w:t>
      </w:r>
      <w:r>
        <w:rPr>
          <w:rFonts w:ascii="Times New Roman" w:hAnsi="Times New Roman" w:cs="Times New Roman"/>
          <w:sz w:val="24"/>
          <w:szCs w:val="24"/>
        </w:rPr>
        <w:t xml:space="preserve">prehearing conference and specified the matters that will be addressed at the prehearing conference, </w:t>
      </w:r>
      <w:r w:rsidR="00487369">
        <w:rPr>
          <w:rFonts w:ascii="Times New Roman" w:hAnsi="Times New Roman" w:cs="Times New Roman"/>
          <w:sz w:val="24"/>
          <w:szCs w:val="24"/>
        </w:rPr>
        <w:t>including</w:t>
      </w:r>
      <w:r>
        <w:rPr>
          <w:rFonts w:ascii="Times New Roman" w:hAnsi="Times New Roman" w:cs="Times New Roman"/>
          <w:sz w:val="24"/>
          <w:szCs w:val="24"/>
        </w:rPr>
        <w:t xml:space="preserve"> “[a]ny . .</w:t>
      </w:r>
      <w:r w:rsidR="006A06D1">
        <w:rPr>
          <w:rFonts w:ascii="Times New Roman" w:hAnsi="Times New Roman" w:cs="Times New Roman"/>
          <w:sz w:val="24"/>
          <w:szCs w:val="24"/>
        </w:rPr>
        <w:t> </w:t>
      </w:r>
      <w:r>
        <w:rPr>
          <w:rFonts w:ascii="Times New Roman" w:hAnsi="Times New Roman" w:cs="Times New Roman"/>
          <w:sz w:val="24"/>
          <w:szCs w:val="24"/>
        </w:rPr>
        <w:t>. matter that may assist in the disposition of this proceeding in a fair and efficient manner.”</w:t>
      </w:r>
      <w:r w:rsidR="00716E52">
        <w:rPr>
          <w:rFonts w:ascii="Times New Roman" w:hAnsi="Times New Roman" w:cs="Times New Roman"/>
          <w:sz w:val="24"/>
          <w:szCs w:val="24"/>
        </w:rPr>
        <w:t xml:space="preserve">  Oncor </w:t>
      </w:r>
      <w:r w:rsidR="00616003">
        <w:rPr>
          <w:rFonts w:ascii="Times New Roman" w:hAnsi="Times New Roman" w:cs="Times New Roman"/>
          <w:sz w:val="24"/>
          <w:szCs w:val="24"/>
        </w:rPr>
        <w:t xml:space="preserve">hereby </w:t>
      </w:r>
      <w:r w:rsidR="00716E52">
        <w:rPr>
          <w:rFonts w:ascii="Times New Roman" w:hAnsi="Times New Roman" w:cs="Times New Roman"/>
          <w:sz w:val="24"/>
          <w:szCs w:val="24"/>
        </w:rPr>
        <w:t>requests that the recommendations of TPWD</w:t>
      </w:r>
      <w:r w:rsidR="00114D35">
        <w:rPr>
          <w:rFonts w:ascii="Times New Roman" w:hAnsi="Times New Roman" w:cs="Times New Roman"/>
          <w:sz w:val="24"/>
          <w:szCs w:val="24"/>
        </w:rPr>
        <w:t>,</w:t>
      </w:r>
      <w:r w:rsidR="00716E52">
        <w:rPr>
          <w:rFonts w:ascii="Times New Roman" w:hAnsi="Times New Roman" w:cs="Times New Roman"/>
          <w:sz w:val="24"/>
          <w:szCs w:val="24"/>
        </w:rPr>
        <w:t xml:space="preserve"> and how those recommendations will be treated in this docket</w:t>
      </w:r>
      <w:r w:rsidR="00114D35">
        <w:rPr>
          <w:rFonts w:ascii="Times New Roman" w:hAnsi="Times New Roman" w:cs="Times New Roman"/>
          <w:sz w:val="24"/>
          <w:szCs w:val="24"/>
        </w:rPr>
        <w:t>,</w:t>
      </w:r>
      <w:r w:rsidR="00716E52">
        <w:rPr>
          <w:rFonts w:ascii="Times New Roman" w:hAnsi="Times New Roman" w:cs="Times New Roman"/>
          <w:sz w:val="24"/>
          <w:szCs w:val="24"/>
        </w:rPr>
        <w:t xml:space="preserve"> be addressed at the initial prehearing conference on December 10, 2021.  </w:t>
      </w:r>
    </w:p>
    <w:p w:rsidR="00A02134" w:rsidRPr="00A02134" w:rsidP="00A02134" w14:paraId="50EF62D8" w14:textId="55ED9089">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Pr>
          <w:rFonts w:ascii="Times New Roman" w:hAnsi="Times New Roman" w:cs="Times New Roman"/>
          <w:sz w:val="24"/>
          <w:szCs w:val="24"/>
        </w:rPr>
        <w:t xml:space="preserve">Oncor </w:t>
      </w:r>
      <w:r w:rsidR="00FC0291">
        <w:rPr>
          <w:rFonts w:ascii="Times New Roman" w:hAnsi="Times New Roman" w:cs="Times New Roman"/>
          <w:sz w:val="24"/>
          <w:szCs w:val="24"/>
        </w:rPr>
        <w:t>supports</w:t>
      </w:r>
      <w:r>
        <w:rPr>
          <w:rFonts w:ascii="Times New Roman" w:hAnsi="Times New Roman" w:cs="Times New Roman"/>
          <w:sz w:val="24"/>
          <w:szCs w:val="24"/>
        </w:rPr>
        <w:t xml:space="preserve"> TPWD’s mission to manage and conserve Texas’ natural resources.  </w:t>
      </w:r>
      <w:r w:rsidR="00C32EEF">
        <w:rPr>
          <w:rFonts w:ascii="Times New Roman" w:hAnsi="Times New Roman" w:cs="Times New Roman"/>
          <w:sz w:val="24"/>
          <w:szCs w:val="24"/>
        </w:rPr>
        <w:t>Oncor</w:t>
      </w:r>
      <w:r w:rsidR="008C052E">
        <w:rPr>
          <w:rFonts w:ascii="Times New Roman" w:hAnsi="Times New Roman" w:cs="Times New Roman"/>
          <w:sz w:val="24"/>
          <w:szCs w:val="24"/>
        </w:rPr>
        <w:t xml:space="preserve">, and specifically Oncor’s </w:t>
      </w:r>
      <w:r w:rsidR="0043339D">
        <w:rPr>
          <w:rFonts w:ascii="Times New Roman" w:hAnsi="Times New Roman" w:cs="Times New Roman"/>
          <w:sz w:val="24"/>
          <w:szCs w:val="24"/>
        </w:rPr>
        <w:t>E</w:t>
      </w:r>
      <w:r w:rsidR="00455638">
        <w:rPr>
          <w:rFonts w:ascii="Times New Roman" w:hAnsi="Times New Roman" w:cs="Times New Roman"/>
          <w:sz w:val="24"/>
          <w:szCs w:val="24"/>
        </w:rPr>
        <w:t xml:space="preserve">nvironmental </w:t>
      </w:r>
      <w:r w:rsidR="0043339D">
        <w:rPr>
          <w:rFonts w:ascii="Times New Roman" w:hAnsi="Times New Roman" w:cs="Times New Roman"/>
          <w:sz w:val="24"/>
          <w:szCs w:val="24"/>
        </w:rPr>
        <w:t>Group</w:t>
      </w:r>
      <w:r w:rsidR="008C052E">
        <w:rPr>
          <w:rFonts w:ascii="Times New Roman" w:hAnsi="Times New Roman" w:cs="Times New Roman"/>
          <w:sz w:val="24"/>
          <w:szCs w:val="24"/>
        </w:rPr>
        <w:t>,</w:t>
      </w:r>
      <w:r w:rsidR="00C32EEF">
        <w:rPr>
          <w:rFonts w:ascii="Times New Roman" w:hAnsi="Times New Roman" w:cs="Times New Roman"/>
          <w:sz w:val="24"/>
          <w:szCs w:val="24"/>
        </w:rPr>
        <w:t xml:space="preserve"> share</w:t>
      </w:r>
      <w:r w:rsidR="0043339D">
        <w:rPr>
          <w:rFonts w:ascii="Times New Roman" w:hAnsi="Times New Roman" w:cs="Times New Roman"/>
          <w:sz w:val="24"/>
          <w:szCs w:val="24"/>
        </w:rPr>
        <w:t>s</w:t>
      </w:r>
      <w:r w:rsidR="00C32EEF">
        <w:rPr>
          <w:rFonts w:ascii="Times New Roman" w:hAnsi="Times New Roman" w:cs="Times New Roman"/>
          <w:sz w:val="24"/>
          <w:szCs w:val="24"/>
        </w:rPr>
        <w:t xml:space="preserve"> similar objectives </w:t>
      </w:r>
      <w:r w:rsidR="005166CD">
        <w:rPr>
          <w:rFonts w:ascii="Times New Roman" w:hAnsi="Times New Roman" w:cs="Times New Roman"/>
          <w:sz w:val="24"/>
          <w:szCs w:val="24"/>
        </w:rPr>
        <w:t>and employ</w:t>
      </w:r>
      <w:r w:rsidR="0043339D">
        <w:rPr>
          <w:rFonts w:ascii="Times New Roman" w:hAnsi="Times New Roman" w:cs="Times New Roman"/>
          <w:sz w:val="24"/>
          <w:szCs w:val="24"/>
        </w:rPr>
        <w:t>s</w:t>
      </w:r>
      <w:r w:rsidR="00455638">
        <w:rPr>
          <w:rFonts w:ascii="Times New Roman" w:hAnsi="Times New Roman" w:cs="Times New Roman"/>
          <w:sz w:val="24"/>
          <w:szCs w:val="24"/>
        </w:rPr>
        <w:t xml:space="preserve"> individuals</w:t>
      </w:r>
      <w:r w:rsidR="00C32EEF">
        <w:rPr>
          <w:rFonts w:ascii="Times New Roman" w:hAnsi="Times New Roman" w:cs="Times New Roman"/>
          <w:sz w:val="24"/>
          <w:szCs w:val="24"/>
        </w:rPr>
        <w:t xml:space="preserve"> </w:t>
      </w:r>
      <w:r w:rsidR="008C052E">
        <w:rPr>
          <w:rFonts w:ascii="Times New Roman" w:hAnsi="Times New Roman" w:cs="Times New Roman"/>
          <w:sz w:val="24"/>
          <w:szCs w:val="24"/>
        </w:rPr>
        <w:t xml:space="preserve">who </w:t>
      </w:r>
      <w:r w:rsidR="00C32EEF">
        <w:rPr>
          <w:rFonts w:ascii="Times New Roman" w:hAnsi="Times New Roman" w:cs="Times New Roman"/>
          <w:sz w:val="24"/>
          <w:szCs w:val="24"/>
        </w:rPr>
        <w:t xml:space="preserve">are experts in implementing best practices to protect natural resources in the context of constructing and operating electric transmission and distribution infrastructure.  </w:t>
      </w:r>
      <w:r w:rsidRPr="00A02134">
        <w:rPr>
          <w:rFonts w:ascii="Times New Roman" w:hAnsi="Times New Roman" w:cs="Times New Roman"/>
          <w:sz w:val="24"/>
          <w:szCs w:val="24"/>
        </w:rPr>
        <w:t xml:space="preserve">However, Oncor also recognizes that TPWD’s recommendations </w:t>
      </w:r>
      <w:r>
        <w:rPr>
          <w:rFonts w:ascii="Times New Roman" w:hAnsi="Times New Roman" w:cs="Times New Roman"/>
          <w:sz w:val="24"/>
          <w:szCs w:val="24"/>
        </w:rPr>
        <w:t>involve</w:t>
      </w:r>
      <w:r w:rsidRPr="00A02134">
        <w:rPr>
          <w:rFonts w:ascii="Times New Roman" w:hAnsi="Times New Roman" w:cs="Times New Roman"/>
          <w:sz w:val="24"/>
          <w:szCs w:val="24"/>
        </w:rPr>
        <w:t xml:space="preserve"> trade</w:t>
      </w:r>
      <w:r>
        <w:rPr>
          <w:rFonts w:ascii="Times New Roman" w:hAnsi="Times New Roman" w:cs="Times New Roman"/>
          <w:sz w:val="24"/>
          <w:szCs w:val="24"/>
        </w:rPr>
        <w:t>-</w:t>
      </w:r>
      <w:r w:rsidRPr="00A02134">
        <w:rPr>
          <w:rFonts w:ascii="Times New Roman" w:hAnsi="Times New Roman" w:cs="Times New Roman"/>
          <w:sz w:val="24"/>
          <w:szCs w:val="24"/>
        </w:rPr>
        <w:t xml:space="preserve">offs in terms of feasibility, schedule, cost, and landowner and other impacts. </w:t>
      </w:r>
      <w:r>
        <w:rPr>
          <w:rFonts w:ascii="Times New Roman" w:hAnsi="Times New Roman" w:cs="Times New Roman"/>
          <w:sz w:val="24"/>
          <w:szCs w:val="24"/>
        </w:rPr>
        <w:t xml:space="preserve"> </w:t>
      </w:r>
      <w:r w:rsidRPr="00A02134">
        <w:rPr>
          <w:rFonts w:ascii="Times New Roman" w:hAnsi="Times New Roman" w:cs="Times New Roman"/>
          <w:sz w:val="24"/>
          <w:szCs w:val="24"/>
        </w:rPr>
        <w:t>There are also</w:t>
      </w:r>
      <w:r w:rsidR="00114D35">
        <w:rPr>
          <w:rFonts w:ascii="Times New Roman" w:hAnsi="Times New Roman" w:cs="Times New Roman"/>
          <w:sz w:val="24"/>
          <w:szCs w:val="24"/>
        </w:rPr>
        <w:t xml:space="preserve"> questions of interpretation and</w:t>
      </w:r>
      <w:r w:rsidRPr="00A02134">
        <w:rPr>
          <w:rFonts w:ascii="Times New Roman" w:hAnsi="Times New Roman" w:cs="Times New Roman"/>
          <w:sz w:val="24"/>
          <w:szCs w:val="24"/>
        </w:rPr>
        <w:t xml:space="preserve"> </w:t>
      </w:r>
      <w:r w:rsidR="00114D35">
        <w:rPr>
          <w:rFonts w:ascii="Times New Roman" w:hAnsi="Times New Roman" w:cs="Times New Roman"/>
          <w:sz w:val="24"/>
          <w:szCs w:val="24"/>
        </w:rPr>
        <w:t>ambiguities in many recommendations that require clarification</w:t>
      </w:r>
      <w:r w:rsidRPr="00A0213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02134">
        <w:rPr>
          <w:rFonts w:ascii="Times New Roman" w:hAnsi="Times New Roman" w:cs="Times New Roman"/>
          <w:sz w:val="24"/>
          <w:szCs w:val="24"/>
        </w:rPr>
        <w:t>Oncor recognizes TPWD’s expertise and understands that a state agency’s views should be respected; at the same time</w:t>
      </w:r>
      <w:r w:rsidR="009E578F">
        <w:rPr>
          <w:rFonts w:ascii="Times New Roman" w:hAnsi="Times New Roman" w:cs="Times New Roman"/>
          <w:sz w:val="24"/>
          <w:szCs w:val="24"/>
        </w:rPr>
        <w:t>,</w:t>
      </w:r>
      <w:r w:rsidRPr="00A02134">
        <w:rPr>
          <w:rFonts w:ascii="Times New Roman" w:hAnsi="Times New Roman" w:cs="Times New Roman"/>
          <w:sz w:val="24"/>
          <w:szCs w:val="24"/>
        </w:rPr>
        <w:t> if TPWD’s recommendations </w:t>
      </w:r>
      <w:r w:rsidR="009E578F">
        <w:rPr>
          <w:rFonts w:ascii="Times New Roman" w:hAnsi="Times New Roman" w:cs="Times New Roman"/>
          <w:sz w:val="24"/>
          <w:szCs w:val="24"/>
        </w:rPr>
        <w:t>were</w:t>
      </w:r>
      <w:r w:rsidRPr="00A02134">
        <w:rPr>
          <w:rFonts w:ascii="Times New Roman" w:hAnsi="Times New Roman" w:cs="Times New Roman"/>
          <w:sz w:val="24"/>
          <w:szCs w:val="24"/>
        </w:rPr>
        <w:t xml:space="preserve"> adopted </w:t>
      </w:r>
      <w:r>
        <w:rPr>
          <w:rFonts w:ascii="Times New Roman" w:hAnsi="Times New Roman" w:cs="Times New Roman"/>
          <w:sz w:val="24"/>
          <w:szCs w:val="24"/>
        </w:rPr>
        <w:t xml:space="preserve">in their current form, </w:t>
      </w:r>
      <w:r w:rsidRPr="00A02134">
        <w:rPr>
          <w:rFonts w:ascii="Times New Roman" w:hAnsi="Times New Roman" w:cs="Times New Roman"/>
          <w:sz w:val="24"/>
          <w:szCs w:val="24"/>
        </w:rPr>
        <w:t xml:space="preserve">without </w:t>
      </w:r>
      <w:r>
        <w:rPr>
          <w:rFonts w:ascii="Times New Roman" w:hAnsi="Times New Roman" w:cs="Times New Roman"/>
          <w:sz w:val="24"/>
          <w:szCs w:val="24"/>
        </w:rPr>
        <w:t>an opportunity for clarification through</w:t>
      </w:r>
      <w:r w:rsidRPr="00A02134">
        <w:rPr>
          <w:rFonts w:ascii="Times New Roman" w:hAnsi="Times New Roman" w:cs="Times New Roman"/>
          <w:sz w:val="24"/>
          <w:szCs w:val="24"/>
        </w:rPr>
        <w:t xml:space="preserve"> discovery and cross-examination as the sponsored exhibits of a</w:t>
      </w:r>
      <w:r w:rsidR="00FA4E6C">
        <w:rPr>
          <w:rFonts w:ascii="Times New Roman" w:hAnsi="Times New Roman" w:cs="Times New Roman"/>
          <w:sz w:val="24"/>
          <w:szCs w:val="24"/>
        </w:rPr>
        <w:t xml:space="preserve"> </w:t>
      </w:r>
      <w:r w:rsidRPr="00A02134">
        <w:rPr>
          <w:rFonts w:ascii="Times New Roman" w:hAnsi="Times New Roman" w:cs="Times New Roman"/>
          <w:sz w:val="24"/>
          <w:szCs w:val="24"/>
        </w:rPr>
        <w:t>capable</w:t>
      </w:r>
      <w:r w:rsidR="00FA4E6C">
        <w:rPr>
          <w:rFonts w:ascii="Times New Roman" w:hAnsi="Times New Roman" w:cs="Times New Roman"/>
          <w:sz w:val="24"/>
          <w:szCs w:val="24"/>
        </w:rPr>
        <w:t xml:space="preserve"> </w:t>
      </w:r>
      <w:r w:rsidRPr="00A02134">
        <w:rPr>
          <w:rFonts w:ascii="Times New Roman" w:hAnsi="Times New Roman" w:cs="Times New Roman"/>
          <w:sz w:val="24"/>
          <w:szCs w:val="24"/>
        </w:rPr>
        <w:t>witness,</w:t>
      </w:r>
      <w:r w:rsidR="00FA4E6C">
        <w:rPr>
          <w:rFonts w:ascii="Times New Roman" w:hAnsi="Times New Roman" w:cs="Times New Roman"/>
          <w:sz w:val="24"/>
          <w:szCs w:val="24"/>
        </w:rPr>
        <w:t xml:space="preserve"> </w:t>
      </w:r>
      <w:r w:rsidRPr="00A02134">
        <w:rPr>
          <w:rFonts w:ascii="Times New Roman" w:hAnsi="Times New Roman" w:cs="Times New Roman"/>
          <w:sz w:val="24"/>
          <w:szCs w:val="24"/>
        </w:rPr>
        <w:t>these recommendations would increase costs,</w:t>
      </w:r>
      <w:r w:rsidR="00FA4E6C">
        <w:rPr>
          <w:rFonts w:ascii="Times New Roman" w:hAnsi="Times New Roman" w:cs="Times New Roman"/>
          <w:sz w:val="24"/>
          <w:szCs w:val="24"/>
        </w:rPr>
        <w:t xml:space="preserve"> </w:t>
      </w:r>
      <w:r w:rsidRPr="00A02134">
        <w:rPr>
          <w:rFonts w:ascii="Times New Roman" w:hAnsi="Times New Roman" w:cs="Times New Roman"/>
          <w:sz w:val="24"/>
          <w:szCs w:val="24"/>
        </w:rPr>
        <w:t>cause contention with landowners, and still not be certain to accomplish the protection for wildlife that TPWD seeks.  Further, many of TPWD’s recommendations</w:t>
      </w:r>
      <w:r w:rsidR="009E578F">
        <w:rPr>
          <w:rFonts w:ascii="Times New Roman" w:hAnsi="Times New Roman" w:cs="Times New Roman"/>
          <w:sz w:val="24"/>
          <w:szCs w:val="24"/>
        </w:rPr>
        <w:t xml:space="preserve"> </w:t>
      </w:r>
      <w:r w:rsidRPr="00A02134">
        <w:rPr>
          <w:rFonts w:ascii="Times New Roman" w:hAnsi="Times New Roman" w:cs="Times New Roman"/>
          <w:sz w:val="24"/>
          <w:szCs w:val="24"/>
        </w:rPr>
        <w:t>are</w:t>
      </w:r>
      <w:r w:rsidR="009E578F">
        <w:rPr>
          <w:rFonts w:ascii="Times New Roman" w:hAnsi="Times New Roman" w:cs="Times New Roman"/>
          <w:sz w:val="24"/>
          <w:szCs w:val="24"/>
        </w:rPr>
        <w:t xml:space="preserve"> </w:t>
      </w:r>
      <w:r w:rsidRPr="00A02134">
        <w:rPr>
          <w:rFonts w:ascii="Times New Roman" w:hAnsi="Times New Roman" w:cs="Times New Roman"/>
          <w:sz w:val="24"/>
          <w:szCs w:val="24"/>
        </w:rPr>
        <w:t>duplicative</w:t>
      </w:r>
      <w:r w:rsidR="009E578F">
        <w:rPr>
          <w:rFonts w:ascii="Times New Roman" w:hAnsi="Times New Roman" w:cs="Times New Roman"/>
          <w:sz w:val="24"/>
          <w:szCs w:val="24"/>
        </w:rPr>
        <w:t xml:space="preserve"> </w:t>
      </w:r>
      <w:r w:rsidRPr="00A02134">
        <w:rPr>
          <w:rFonts w:ascii="Times New Roman" w:hAnsi="Times New Roman" w:cs="Times New Roman"/>
          <w:sz w:val="24"/>
          <w:szCs w:val="24"/>
        </w:rPr>
        <w:t>of</w:t>
      </w:r>
      <w:r w:rsidR="009E578F">
        <w:rPr>
          <w:rFonts w:ascii="Times New Roman" w:hAnsi="Times New Roman" w:cs="Times New Roman"/>
          <w:sz w:val="24"/>
          <w:szCs w:val="24"/>
        </w:rPr>
        <w:t xml:space="preserve"> </w:t>
      </w:r>
      <w:r w:rsidRPr="00A02134">
        <w:rPr>
          <w:rFonts w:ascii="Times New Roman" w:hAnsi="Times New Roman" w:cs="Times New Roman"/>
          <w:sz w:val="24"/>
          <w:szCs w:val="24"/>
        </w:rPr>
        <w:t>or run counter to the Commission’s standard ordering language</w:t>
      </w:r>
      <w:r w:rsidR="00FA4E6C">
        <w:rPr>
          <w:rFonts w:ascii="Times New Roman" w:hAnsi="Times New Roman" w:cs="Times New Roman"/>
          <w:sz w:val="24"/>
          <w:szCs w:val="24"/>
        </w:rPr>
        <w:t xml:space="preserve"> </w:t>
      </w:r>
      <w:r w:rsidRPr="00A02134">
        <w:rPr>
          <w:rFonts w:ascii="Times New Roman" w:hAnsi="Times New Roman" w:cs="Times New Roman"/>
          <w:sz w:val="24"/>
          <w:szCs w:val="24"/>
        </w:rPr>
        <w:t>regarding</w:t>
      </w:r>
      <w:r>
        <w:rPr>
          <w:rFonts w:ascii="Times New Roman" w:hAnsi="Times New Roman" w:cs="Times New Roman"/>
          <w:sz w:val="24"/>
          <w:szCs w:val="24"/>
        </w:rPr>
        <w:t xml:space="preserve"> </w:t>
      </w:r>
      <w:r w:rsidRPr="00A02134">
        <w:rPr>
          <w:rFonts w:ascii="Times New Roman" w:hAnsi="Times New Roman" w:cs="Times New Roman"/>
          <w:sz w:val="24"/>
          <w:szCs w:val="24"/>
        </w:rPr>
        <w:t>environmental protection</w:t>
      </w:r>
      <w:r w:rsidR="00FA4E6C">
        <w:rPr>
          <w:rFonts w:ascii="Times New Roman" w:hAnsi="Times New Roman" w:cs="Times New Roman"/>
          <w:sz w:val="24"/>
          <w:szCs w:val="24"/>
        </w:rPr>
        <w:t xml:space="preserve"> </w:t>
      </w:r>
      <w:r w:rsidRPr="00A02134">
        <w:rPr>
          <w:rFonts w:ascii="Times New Roman" w:hAnsi="Times New Roman" w:cs="Times New Roman"/>
          <w:sz w:val="24"/>
          <w:szCs w:val="24"/>
        </w:rPr>
        <w:t>that has been utilized for decades.</w:t>
      </w:r>
    </w:p>
    <w:p w:rsidR="00A35DE0" w:rsidP="00A02134" w14:paraId="3FAAED35" w14:textId="11D332D0">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sidRPr="00A02134">
        <w:rPr>
          <w:rFonts w:ascii="Times New Roman" w:hAnsi="Times New Roman" w:cs="Times New Roman"/>
          <w:sz w:val="24"/>
          <w:szCs w:val="24"/>
        </w:rPr>
        <w:t xml:space="preserve">Oncor is, and has been for several weeks, </w:t>
      </w:r>
      <w:r w:rsidR="009E578F">
        <w:rPr>
          <w:rFonts w:ascii="Times New Roman" w:hAnsi="Times New Roman" w:cs="Times New Roman"/>
          <w:sz w:val="24"/>
          <w:szCs w:val="24"/>
        </w:rPr>
        <w:t xml:space="preserve">actively </w:t>
      </w:r>
      <w:r w:rsidRPr="00A02134">
        <w:rPr>
          <w:rFonts w:ascii="Times New Roman" w:hAnsi="Times New Roman" w:cs="Times New Roman"/>
          <w:sz w:val="24"/>
          <w:szCs w:val="24"/>
        </w:rPr>
        <w:t xml:space="preserve">attempting </w:t>
      </w:r>
      <w:r w:rsidR="009E578F">
        <w:rPr>
          <w:rFonts w:ascii="Times New Roman" w:hAnsi="Times New Roman" w:cs="Times New Roman"/>
          <w:sz w:val="24"/>
          <w:szCs w:val="24"/>
        </w:rPr>
        <w:t xml:space="preserve">to </w:t>
      </w:r>
      <w:r w:rsidRPr="00A02134">
        <w:rPr>
          <w:rFonts w:ascii="Times New Roman" w:hAnsi="Times New Roman" w:cs="Times New Roman"/>
          <w:sz w:val="24"/>
          <w:szCs w:val="24"/>
        </w:rPr>
        <w:t xml:space="preserve">engage with both TPWD and Commission Staff to address these concerns more broadly, but </w:t>
      </w:r>
      <w:r w:rsidR="009E578F">
        <w:rPr>
          <w:rFonts w:ascii="Times New Roman" w:hAnsi="Times New Roman" w:cs="Times New Roman"/>
          <w:sz w:val="24"/>
          <w:szCs w:val="24"/>
        </w:rPr>
        <w:t xml:space="preserve">Oncor </w:t>
      </w:r>
      <w:r w:rsidRPr="00A02134">
        <w:rPr>
          <w:rFonts w:ascii="Times New Roman" w:hAnsi="Times New Roman" w:cs="Times New Roman"/>
          <w:sz w:val="24"/>
          <w:szCs w:val="24"/>
        </w:rPr>
        <w:t>also wishes to address the substance and treatment of TPWD’s recommendations in this docket from its outset.</w:t>
      </w:r>
    </w:p>
    <w:p w:rsidR="00616003" w:rsidP="00D4167B" w14:paraId="4532DE03" w14:textId="5D6ACA90">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Pr>
          <w:rFonts w:ascii="Times New Roman" w:hAnsi="Times New Roman" w:cs="Times New Roman"/>
          <w:sz w:val="24"/>
          <w:szCs w:val="24"/>
        </w:rPr>
        <w:t xml:space="preserve">Pursuant to the Preliminary Order, </w:t>
      </w:r>
      <w:r w:rsidR="001D0DE5">
        <w:rPr>
          <w:rFonts w:ascii="Times New Roman" w:hAnsi="Times New Roman" w:cs="Times New Roman"/>
          <w:sz w:val="24"/>
          <w:szCs w:val="24"/>
        </w:rPr>
        <w:t xml:space="preserve">Oncor </w:t>
      </w:r>
      <w:r w:rsidR="00716E52">
        <w:rPr>
          <w:rFonts w:ascii="Times New Roman" w:hAnsi="Times New Roman" w:cs="Times New Roman"/>
          <w:sz w:val="24"/>
          <w:szCs w:val="24"/>
        </w:rPr>
        <w:t>plans to</w:t>
      </w:r>
      <w:r>
        <w:rPr>
          <w:rFonts w:ascii="Times New Roman" w:hAnsi="Times New Roman" w:cs="Times New Roman"/>
          <w:sz w:val="24"/>
          <w:szCs w:val="24"/>
        </w:rPr>
        <w:t xml:space="preserve"> </w:t>
      </w:r>
      <w:r w:rsidR="001D0DE5">
        <w:rPr>
          <w:rFonts w:ascii="Times New Roman" w:hAnsi="Times New Roman" w:cs="Times New Roman"/>
          <w:sz w:val="24"/>
          <w:szCs w:val="24"/>
        </w:rPr>
        <w:t xml:space="preserve">address the substance of TPWD’s recommendations in testimony.  However, Oncor </w:t>
      </w:r>
      <w:r w:rsidR="00716E52">
        <w:rPr>
          <w:rFonts w:ascii="Times New Roman" w:hAnsi="Times New Roman" w:cs="Times New Roman"/>
          <w:sz w:val="24"/>
          <w:szCs w:val="24"/>
        </w:rPr>
        <w:t>believes that TPWD may be a necessary party to this proceeding to have its recommendations properly addressed.   In a separate docket,</w:t>
      </w:r>
      <w:r w:rsidR="00386EFF">
        <w:rPr>
          <w:rFonts w:ascii="Times New Roman" w:hAnsi="Times New Roman" w:cs="Times New Roman"/>
          <w:sz w:val="24"/>
          <w:szCs w:val="24"/>
        </w:rPr>
        <w:t xml:space="preserve"> the Commission </w:t>
      </w:r>
      <w:r w:rsidR="0013607E">
        <w:rPr>
          <w:rFonts w:ascii="Times New Roman" w:hAnsi="Times New Roman" w:cs="Times New Roman"/>
          <w:sz w:val="24"/>
          <w:szCs w:val="24"/>
        </w:rPr>
        <w:t xml:space="preserve">recently </w:t>
      </w:r>
      <w:r w:rsidR="00386EFF">
        <w:rPr>
          <w:rFonts w:ascii="Times New Roman" w:hAnsi="Times New Roman" w:cs="Times New Roman"/>
          <w:sz w:val="24"/>
          <w:szCs w:val="24"/>
        </w:rPr>
        <w:t>raised</w:t>
      </w:r>
      <w:r w:rsidR="00A35DE0">
        <w:rPr>
          <w:rFonts w:ascii="Times New Roman" w:hAnsi="Times New Roman" w:cs="Times New Roman"/>
          <w:sz w:val="24"/>
          <w:szCs w:val="24"/>
        </w:rPr>
        <w:t xml:space="preserve"> </w:t>
      </w:r>
      <w:r w:rsidR="008C052E">
        <w:rPr>
          <w:rFonts w:ascii="Times New Roman" w:hAnsi="Times New Roman" w:cs="Times New Roman"/>
          <w:sz w:val="24"/>
          <w:szCs w:val="24"/>
        </w:rPr>
        <w:t xml:space="preserve">questions </w:t>
      </w:r>
      <w:r w:rsidR="00455638">
        <w:rPr>
          <w:rFonts w:ascii="Times New Roman" w:hAnsi="Times New Roman" w:cs="Times New Roman"/>
          <w:sz w:val="24"/>
          <w:szCs w:val="24"/>
        </w:rPr>
        <w:t xml:space="preserve">regarding the </w:t>
      </w:r>
      <w:r w:rsidR="00386EFF">
        <w:rPr>
          <w:rFonts w:ascii="Times New Roman" w:hAnsi="Times New Roman" w:cs="Times New Roman"/>
          <w:sz w:val="24"/>
          <w:szCs w:val="24"/>
        </w:rPr>
        <w:t>appropriate</w:t>
      </w:r>
      <w:r w:rsidR="00455638">
        <w:rPr>
          <w:rFonts w:ascii="Times New Roman" w:hAnsi="Times New Roman" w:cs="Times New Roman"/>
          <w:sz w:val="24"/>
          <w:szCs w:val="24"/>
        </w:rPr>
        <w:t xml:space="preserve"> treatment of TPWD’s </w:t>
      </w:r>
      <w:r w:rsidR="00455638">
        <w:rPr>
          <w:rFonts w:ascii="Times New Roman" w:hAnsi="Times New Roman" w:cs="Times New Roman"/>
          <w:sz w:val="24"/>
          <w:szCs w:val="24"/>
        </w:rPr>
        <w:t>recommendations</w:t>
      </w:r>
      <w:r w:rsidR="00386EFF">
        <w:rPr>
          <w:rFonts w:ascii="Times New Roman" w:hAnsi="Times New Roman" w:cs="Times New Roman"/>
          <w:sz w:val="24"/>
          <w:szCs w:val="24"/>
        </w:rPr>
        <w:t>.</w:t>
      </w:r>
      <w:r>
        <w:rPr>
          <w:rStyle w:val="FootnoteReference"/>
          <w:rFonts w:ascii="Times New Roman" w:hAnsi="Times New Roman" w:cs="Times New Roman"/>
          <w:sz w:val="24"/>
          <w:szCs w:val="24"/>
        </w:rPr>
        <w:footnoteReference w:id="2"/>
      </w:r>
      <w:r w:rsidR="00386EFF">
        <w:rPr>
          <w:rFonts w:ascii="Times New Roman" w:hAnsi="Times New Roman" w:cs="Times New Roman"/>
          <w:sz w:val="24"/>
          <w:szCs w:val="24"/>
        </w:rPr>
        <w:t xml:space="preserve">  Without TPWD actively participating to provide guidance, those questions </w:t>
      </w:r>
      <w:r w:rsidR="008C052E">
        <w:rPr>
          <w:rFonts w:ascii="Times New Roman" w:hAnsi="Times New Roman" w:cs="Times New Roman"/>
          <w:sz w:val="24"/>
          <w:szCs w:val="24"/>
        </w:rPr>
        <w:t>interfered with the</w:t>
      </w:r>
      <w:r w:rsidR="00C32EEF">
        <w:rPr>
          <w:rFonts w:ascii="Times New Roman" w:hAnsi="Times New Roman" w:cs="Times New Roman"/>
          <w:sz w:val="24"/>
          <w:szCs w:val="24"/>
        </w:rPr>
        <w:t xml:space="preserve"> settlement of </w:t>
      </w:r>
      <w:r w:rsidR="006A06D1">
        <w:rPr>
          <w:rFonts w:ascii="Times New Roman" w:hAnsi="Times New Roman" w:cs="Times New Roman"/>
          <w:sz w:val="24"/>
          <w:szCs w:val="24"/>
        </w:rPr>
        <w:t>that</w:t>
      </w:r>
      <w:r w:rsidR="00386EFF">
        <w:rPr>
          <w:rFonts w:ascii="Times New Roman" w:hAnsi="Times New Roman" w:cs="Times New Roman"/>
          <w:sz w:val="24"/>
          <w:szCs w:val="24"/>
        </w:rPr>
        <w:t xml:space="preserve"> </w:t>
      </w:r>
      <w:r w:rsidR="00C32EEF">
        <w:rPr>
          <w:rFonts w:ascii="Times New Roman" w:hAnsi="Times New Roman" w:cs="Times New Roman"/>
          <w:sz w:val="24"/>
          <w:szCs w:val="24"/>
        </w:rPr>
        <w:t xml:space="preserve">CCN </w:t>
      </w:r>
      <w:r w:rsidR="00386EFF">
        <w:rPr>
          <w:rFonts w:ascii="Times New Roman" w:hAnsi="Times New Roman" w:cs="Times New Roman"/>
          <w:sz w:val="24"/>
          <w:szCs w:val="24"/>
        </w:rPr>
        <w:t>proceeding</w:t>
      </w:r>
      <w:r w:rsidR="00C32EEF">
        <w:rPr>
          <w:rFonts w:ascii="Times New Roman" w:hAnsi="Times New Roman" w:cs="Times New Roman"/>
          <w:sz w:val="24"/>
          <w:szCs w:val="24"/>
        </w:rPr>
        <w:t>.</w:t>
      </w:r>
      <w:r>
        <w:rPr>
          <w:rStyle w:val="FootnoteReference"/>
          <w:rFonts w:ascii="Times New Roman" w:hAnsi="Times New Roman" w:cs="Times New Roman"/>
          <w:sz w:val="24"/>
          <w:szCs w:val="24"/>
        </w:rPr>
        <w:footnoteReference w:id="3"/>
      </w:r>
      <w:r w:rsidR="00C32EEF">
        <w:rPr>
          <w:rFonts w:ascii="Times New Roman" w:hAnsi="Times New Roman" w:cs="Times New Roman"/>
          <w:sz w:val="24"/>
          <w:szCs w:val="24"/>
        </w:rPr>
        <w:t xml:space="preserve">  Specifically</w:t>
      </w:r>
      <w:r w:rsidR="00386EFF">
        <w:rPr>
          <w:rFonts w:ascii="Times New Roman" w:hAnsi="Times New Roman" w:cs="Times New Roman"/>
          <w:sz w:val="24"/>
          <w:szCs w:val="24"/>
        </w:rPr>
        <w:t xml:space="preserve"> at issue in that proceeding was</w:t>
      </w:r>
      <w:r w:rsidR="00C32EEF">
        <w:rPr>
          <w:rFonts w:ascii="Times New Roman" w:hAnsi="Times New Roman" w:cs="Times New Roman"/>
          <w:sz w:val="24"/>
          <w:szCs w:val="24"/>
        </w:rPr>
        <w:t xml:space="preserve"> the </w:t>
      </w:r>
      <w:r w:rsidR="00386EFF">
        <w:rPr>
          <w:rFonts w:ascii="Times New Roman" w:hAnsi="Times New Roman" w:cs="Times New Roman"/>
          <w:sz w:val="24"/>
          <w:szCs w:val="24"/>
        </w:rPr>
        <w:t>question</w:t>
      </w:r>
      <w:r w:rsidR="00C32EEF">
        <w:rPr>
          <w:rFonts w:ascii="Times New Roman" w:hAnsi="Times New Roman" w:cs="Times New Roman"/>
          <w:sz w:val="24"/>
          <w:szCs w:val="24"/>
        </w:rPr>
        <w:t xml:space="preserve"> </w:t>
      </w:r>
      <w:r w:rsidR="0043339D">
        <w:rPr>
          <w:rFonts w:ascii="Times New Roman" w:hAnsi="Times New Roman" w:cs="Times New Roman"/>
          <w:sz w:val="24"/>
          <w:szCs w:val="24"/>
        </w:rPr>
        <w:t>of</w:t>
      </w:r>
      <w:r w:rsidR="00C32EEF">
        <w:rPr>
          <w:rFonts w:ascii="Times New Roman" w:hAnsi="Times New Roman" w:cs="Times New Roman"/>
          <w:sz w:val="24"/>
          <w:szCs w:val="24"/>
        </w:rPr>
        <w:t xml:space="preserve"> whether TPWD’s recommendations should be admitted into evidence.</w:t>
      </w:r>
      <w:r w:rsidR="008C052E">
        <w:rPr>
          <w:rFonts w:ascii="Times New Roman" w:hAnsi="Times New Roman" w:cs="Times New Roman"/>
          <w:sz w:val="24"/>
          <w:szCs w:val="24"/>
        </w:rPr>
        <w:t xml:space="preserve">  Oncor is of the view that (i) TPWD’s recommendations are advisory only and are not evidence in a CCN proceeding</w:t>
      </w:r>
      <w:r w:rsidR="00FC0291">
        <w:rPr>
          <w:rFonts w:ascii="Times New Roman" w:hAnsi="Times New Roman" w:cs="Times New Roman"/>
          <w:sz w:val="24"/>
          <w:szCs w:val="24"/>
        </w:rPr>
        <w:t>;</w:t>
      </w:r>
      <w:r w:rsidR="008C052E">
        <w:rPr>
          <w:rFonts w:ascii="Times New Roman" w:hAnsi="Times New Roman" w:cs="Times New Roman"/>
          <w:sz w:val="24"/>
          <w:szCs w:val="24"/>
        </w:rPr>
        <w:t xml:space="preserve"> and (ii) TPWD </w:t>
      </w:r>
      <w:r w:rsidR="00D4167B">
        <w:rPr>
          <w:rFonts w:ascii="Times New Roman" w:hAnsi="Times New Roman" w:cs="Times New Roman"/>
          <w:sz w:val="24"/>
          <w:szCs w:val="24"/>
        </w:rPr>
        <w:t>is</w:t>
      </w:r>
      <w:r w:rsidR="008C052E">
        <w:rPr>
          <w:rFonts w:ascii="Times New Roman" w:hAnsi="Times New Roman" w:cs="Times New Roman"/>
          <w:sz w:val="24"/>
          <w:szCs w:val="24"/>
        </w:rPr>
        <w:t xml:space="preserve"> a necessary party in </w:t>
      </w:r>
      <w:r w:rsidR="001D0DE5">
        <w:rPr>
          <w:rFonts w:ascii="Times New Roman" w:hAnsi="Times New Roman" w:cs="Times New Roman"/>
          <w:sz w:val="24"/>
          <w:szCs w:val="24"/>
        </w:rPr>
        <w:t>any</w:t>
      </w:r>
      <w:r w:rsidR="008C052E">
        <w:rPr>
          <w:rFonts w:ascii="Times New Roman" w:hAnsi="Times New Roman" w:cs="Times New Roman"/>
          <w:sz w:val="24"/>
          <w:szCs w:val="24"/>
        </w:rPr>
        <w:t xml:space="preserve"> proceeding </w:t>
      </w:r>
      <w:r w:rsidR="0074714A">
        <w:rPr>
          <w:rFonts w:ascii="Times New Roman" w:hAnsi="Times New Roman" w:cs="Times New Roman"/>
          <w:sz w:val="24"/>
          <w:szCs w:val="24"/>
        </w:rPr>
        <w:t xml:space="preserve">where its recommendations will be given evidentiary weight. </w:t>
      </w:r>
    </w:p>
    <w:p w:rsidR="00D4167B" w:rsidP="00D4167B" w14:paraId="5B444B95" w14:textId="10DE69D4">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Pr>
          <w:rFonts w:ascii="Times New Roman" w:hAnsi="Times New Roman" w:cs="Times New Roman"/>
          <w:sz w:val="24"/>
          <w:szCs w:val="24"/>
        </w:rPr>
        <w:t xml:space="preserve"> If TPWD</w:t>
      </w:r>
      <w:r w:rsidR="0013607E">
        <w:rPr>
          <w:rFonts w:ascii="Times New Roman" w:hAnsi="Times New Roman" w:cs="Times New Roman"/>
          <w:sz w:val="24"/>
          <w:szCs w:val="24"/>
        </w:rPr>
        <w:t>’s</w:t>
      </w:r>
      <w:r>
        <w:rPr>
          <w:rFonts w:ascii="Times New Roman" w:hAnsi="Times New Roman" w:cs="Times New Roman"/>
          <w:sz w:val="24"/>
          <w:szCs w:val="24"/>
        </w:rPr>
        <w:t xml:space="preserve"> recommendations are </w:t>
      </w:r>
      <w:r w:rsidR="00616003">
        <w:rPr>
          <w:rFonts w:ascii="Times New Roman" w:hAnsi="Times New Roman" w:cs="Times New Roman"/>
          <w:sz w:val="24"/>
          <w:szCs w:val="24"/>
        </w:rPr>
        <w:t>admitted</w:t>
      </w:r>
      <w:r w:rsidR="0082034A">
        <w:rPr>
          <w:rFonts w:ascii="Times New Roman" w:hAnsi="Times New Roman" w:cs="Times New Roman"/>
          <w:sz w:val="24"/>
          <w:szCs w:val="24"/>
        </w:rPr>
        <w:t xml:space="preserve"> as evidence</w:t>
      </w:r>
      <w:r>
        <w:rPr>
          <w:rFonts w:ascii="Times New Roman" w:hAnsi="Times New Roman" w:cs="Times New Roman"/>
          <w:sz w:val="24"/>
          <w:szCs w:val="24"/>
        </w:rPr>
        <w:t xml:space="preserve"> in a </w:t>
      </w:r>
      <w:r w:rsidR="006A06D1">
        <w:rPr>
          <w:rFonts w:ascii="Times New Roman" w:hAnsi="Times New Roman" w:cs="Times New Roman"/>
          <w:sz w:val="24"/>
          <w:szCs w:val="24"/>
        </w:rPr>
        <w:t>proceeding</w:t>
      </w:r>
      <w:r>
        <w:rPr>
          <w:rFonts w:ascii="Times New Roman" w:hAnsi="Times New Roman" w:cs="Times New Roman"/>
          <w:sz w:val="24"/>
          <w:szCs w:val="24"/>
        </w:rPr>
        <w:t xml:space="preserve"> without TPWD as a party, there is no </w:t>
      </w:r>
      <w:r w:rsidR="00616003">
        <w:rPr>
          <w:rFonts w:ascii="Times New Roman" w:hAnsi="Times New Roman" w:cs="Times New Roman"/>
          <w:sz w:val="24"/>
          <w:szCs w:val="24"/>
        </w:rPr>
        <w:t>opportunity</w:t>
      </w:r>
      <w:r>
        <w:rPr>
          <w:rFonts w:ascii="Times New Roman" w:hAnsi="Times New Roman" w:cs="Times New Roman"/>
          <w:sz w:val="24"/>
          <w:szCs w:val="24"/>
        </w:rPr>
        <w:t xml:space="preserve"> for the applicant to propound discovery and get clarification from TPWD on the brea</w:t>
      </w:r>
      <w:r w:rsidR="00616003">
        <w:rPr>
          <w:rFonts w:ascii="Times New Roman" w:hAnsi="Times New Roman" w:cs="Times New Roman"/>
          <w:sz w:val="24"/>
          <w:szCs w:val="24"/>
        </w:rPr>
        <w:t>d</w:t>
      </w:r>
      <w:r>
        <w:rPr>
          <w:rFonts w:ascii="Times New Roman" w:hAnsi="Times New Roman" w:cs="Times New Roman"/>
          <w:sz w:val="24"/>
          <w:szCs w:val="24"/>
        </w:rPr>
        <w:t>th, scope</w:t>
      </w:r>
      <w:r w:rsidR="00716E52">
        <w:rPr>
          <w:rFonts w:ascii="Times New Roman" w:hAnsi="Times New Roman" w:cs="Times New Roman"/>
          <w:sz w:val="24"/>
          <w:szCs w:val="24"/>
        </w:rPr>
        <w:t>,</w:t>
      </w:r>
      <w:r>
        <w:rPr>
          <w:rFonts w:ascii="Times New Roman" w:hAnsi="Times New Roman" w:cs="Times New Roman"/>
          <w:sz w:val="24"/>
          <w:szCs w:val="24"/>
        </w:rPr>
        <w:t xml:space="preserve"> or ambiguity of particular recommendation</w:t>
      </w:r>
      <w:r w:rsidR="005F5F4D">
        <w:rPr>
          <w:rFonts w:ascii="Times New Roman" w:hAnsi="Times New Roman" w:cs="Times New Roman"/>
          <w:sz w:val="24"/>
          <w:szCs w:val="24"/>
        </w:rPr>
        <w:t>s</w:t>
      </w:r>
      <w:r>
        <w:rPr>
          <w:rFonts w:ascii="Times New Roman" w:hAnsi="Times New Roman" w:cs="Times New Roman"/>
          <w:sz w:val="24"/>
          <w:szCs w:val="24"/>
        </w:rPr>
        <w:t>.  Oncor supports the mission and objectives of TPWD</w:t>
      </w:r>
      <w:r w:rsidR="004C046B">
        <w:rPr>
          <w:rFonts w:ascii="Times New Roman" w:hAnsi="Times New Roman" w:cs="Times New Roman"/>
          <w:sz w:val="24"/>
          <w:szCs w:val="24"/>
        </w:rPr>
        <w:t>.  However</w:t>
      </w:r>
      <w:r w:rsidR="00616003">
        <w:rPr>
          <w:rFonts w:ascii="Times New Roman" w:hAnsi="Times New Roman" w:cs="Times New Roman"/>
          <w:sz w:val="24"/>
          <w:szCs w:val="24"/>
        </w:rPr>
        <w:t>,</w:t>
      </w:r>
      <w:r>
        <w:rPr>
          <w:rFonts w:ascii="Times New Roman" w:hAnsi="Times New Roman" w:cs="Times New Roman"/>
          <w:sz w:val="24"/>
          <w:szCs w:val="24"/>
        </w:rPr>
        <w:t xml:space="preserve"> </w:t>
      </w:r>
      <w:r w:rsidR="004C046B">
        <w:rPr>
          <w:rFonts w:ascii="Times New Roman" w:hAnsi="Times New Roman" w:cs="Times New Roman"/>
          <w:sz w:val="24"/>
          <w:szCs w:val="24"/>
        </w:rPr>
        <w:t xml:space="preserve">as TPWD attempts to modify or </w:t>
      </w:r>
      <w:r w:rsidR="00B958C7">
        <w:rPr>
          <w:rFonts w:ascii="Times New Roman" w:hAnsi="Times New Roman" w:cs="Times New Roman"/>
          <w:sz w:val="24"/>
          <w:szCs w:val="24"/>
        </w:rPr>
        <w:t>recommend</w:t>
      </w:r>
      <w:r w:rsidR="004C046B">
        <w:rPr>
          <w:rFonts w:ascii="Times New Roman" w:hAnsi="Times New Roman" w:cs="Times New Roman"/>
          <w:sz w:val="24"/>
          <w:szCs w:val="24"/>
        </w:rPr>
        <w:t xml:space="preserve"> new practices </w:t>
      </w:r>
      <w:r w:rsidR="005F5F4D">
        <w:rPr>
          <w:rFonts w:ascii="Times New Roman" w:hAnsi="Times New Roman" w:cs="Times New Roman"/>
          <w:sz w:val="24"/>
          <w:szCs w:val="24"/>
        </w:rPr>
        <w:t>that impact</w:t>
      </w:r>
      <w:r w:rsidR="004C046B">
        <w:rPr>
          <w:rFonts w:ascii="Times New Roman" w:hAnsi="Times New Roman" w:cs="Times New Roman"/>
          <w:sz w:val="24"/>
          <w:szCs w:val="24"/>
        </w:rPr>
        <w:t xml:space="preserve"> transmission line construction, TPWD must be a party so that both the applicant and the Commission may have sufficient clarity on TPWD’s recommendations.  No other party can fill this void.  </w:t>
      </w:r>
      <w:r w:rsidR="005166CD">
        <w:rPr>
          <w:rFonts w:ascii="Times New Roman" w:hAnsi="Times New Roman" w:cs="Times New Roman"/>
          <w:sz w:val="24"/>
          <w:szCs w:val="24"/>
        </w:rPr>
        <w:t>Therefore</w:t>
      </w:r>
      <w:r>
        <w:rPr>
          <w:rFonts w:ascii="Times New Roman" w:hAnsi="Times New Roman" w:cs="Times New Roman"/>
          <w:sz w:val="24"/>
          <w:szCs w:val="24"/>
        </w:rPr>
        <w:t xml:space="preserve">, </w:t>
      </w:r>
      <w:r w:rsidR="005166CD">
        <w:rPr>
          <w:rFonts w:ascii="Times New Roman" w:hAnsi="Times New Roman" w:cs="Times New Roman"/>
          <w:sz w:val="24"/>
          <w:szCs w:val="24"/>
        </w:rPr>
        <w:t>even though</w:t>
      </w:r>
      <w:r w:rsidR="008C052E">
        <w:rPr>
          <w:rFonts w:ascii="Times New Roman" w:hAnsi="Times New Roman" w:cs="Times New Roman"/>
          <w:sz w:val="24"/>
          <w:szCs w:val="24"/>
        </w:rPr>
        <w:t xml:space="preserve"> the intervention window in this docket </w:t>
      </w:r>
      <w:r w:rsidR="0043339D">
        <w:rPr>
          <w:rFonts w:ascii="Times New Roman" w:hAnsi="Times New Roman" w:cs="Times New Roman"/>
          <w:sz w:val="24"/>
          <w:szCs w:val="24"/>
        </w:rPr>
        <w:t>has passed</w:t>
      </w:r>
      <w:r w:rsidR="008C052E">
        <w:rPr>
          <w:rFonts w:ascii="Times New Roman" w:hAnsi="Times New Roman" w:cs="Times New Roman"/>
          <w:sz w:val="24"/>
          <w:szCs w:val="24"/>
        </w:rPr>
        <w:t xml:space="preserve">, Oncor </w:t>
      </w:r>
      <w:r w:rsidR="00487369">
        <w:rPr>
          <w:rFonts w:ascii="Times New Roman" w:hAnsi="Times New Roman" w:cs="Times New Roman"/>
          <w:sz w:val="24"/>
          <w:szCs w:val="24"/>
        </w:rPr>
        <w:t xml:space="preserve">encourages and </w:t>
      </w:r>
      <w:r w:rsidR="008C052E">
        <w:rPr>
          <w:rFonts w:ascii="Times New Roman" w:hAnsi="Times New Roman" w:cs="Times New Roman"/>
          <w:sz w:val="24"/>
          <w:szCs w:val="24"/>
        </w:rPr>
        <w:t xml:space="preserve">would support TPWD’s participation </w:t>
      </w:r>
      <w:r w:rsidR="005166CD">
        <w:rPr>
          <w:rFonts w:ascii="Times New Roman" w:hAnsi="Times New Roman" w:cs="Times New Roman"/>
          <w:sz w:val="24"/>
          <w:szCs w:val="24"/>
        </w:rPr>
        <w:t>in</w:t>
      </w:r>
      <w:r w:rsidR="008C052E">
        <w:rPr>
          <w:rFonts w:ascii="Times New Roman" w:hAnsi="Times New Roman" w:cs="Times New Roman"/>
          <w:sz w:val="24"/>
          <w:szCs w:val="24"/>
        </w:rPr>
        <w:t xml:space="preserve"> this proceeding.  </w:t>
      </w:r>
    </w:p>
    <w:p w:rsidR="005166CD" w:rsidRPr="001D0DE5" w:rsidP="0013607E" w14:paraId="082A53B8" w14:textId="18C248C2">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Pr>
          <w:rFonts w:ascii="Times New Roman" w:hAnsi="Times New Roman" w:cs="Times New Roman"/>
          <w:sz w:val="24"/>
          <w:szCs w:val="24"/>
        </w:rPr>
        <w:t xml:space="preserve">Accordingly, consistent with SOAH Order No. 1, to </w:t>
      </w:r>
      <w:r w:rsidR="00487369">
        <w:rPr>
          <w:rFonts w:ascii="Times New Roman" w:hAnsi="Times New Roman" w:cs="Times New Roman"/>
          <w:sz w:val="24"/>
          <w:szCs w:val="24"/>
        </w:rPr>
        <w:t>assist in</w:t>
      </w:r>
      <w:r>
        <w:rPr>
          <w:rFonts w:ascii="Times New Roman" w:hAnsi="Times New Roman" w:cs="Times New Roman"/>
          <w:sz w:val="24"/>
          <w:szCs w:val="24"/>
        </w:rPr>
        <w:t xml:space="preserve"> the disposition of this proceeding in a fair and efficient manner, </w:t>
      </w:r>
      <w:r w:rsidR="00D4167B">
        <w:rPr>
          <w:rFonts w:ascii="Times New Roman" w:hAnsi="Times New Roman" w:cs="Times New Roman"/>
          <w:sz w:val="24"/>
          <w:szCs w:val="24"/>
        </w:rPr>
        <w:t xml:space="preserve">Oncor respectfully requests </w:t>
      </w:r>
      <w:r w:rsidR="004C046B">
        <w:rPr>
          <w:rFonts w:ascii="Times New Roman" w:hAnsi="Times New Roman" w:cs="Times New Roman"/>
          <w:sz w:val="24"/>
          <w:szCs w:val="24"/>
        </w:rPr>
        <w:t xml:space="preserve">an opportunity at this initial prehearing conference to </w:t>
      </w:r>
      <w:r w:rsidR="00716E52">
        <w:rPr>
          <w:rFonts w:ascii="Times New Roman" w:hAnsi="Times New Roman" w:cs="Times New Roman"/>
          <w:sz w:val="24"/>
          <w:szCs w:val="24"/>
        </w:rPr>
        <w:t>discuss</w:t>
      </w:r>
      <w:r w:rsidR="004C046B">
        <w:rPr>
          <w:rFonts w:ascii="Times New Roman" w:hAnsi="Times New Roman" w:cs="Times New Roman"/>
          <w:sz w:val="24"/>
          <w:szCs w:val="24"/>
        </w:rPr>
        <w:t xml:space="preserve"> the TPWD</w:t>
      </w:r>
      <w:r w:rsidR="006A06D1">
        <w:rPr>
          <w:rFonts w:ascii="Times New Roman" w:hAnsi="Times New Roman" w:cs="Times New Roman"/>
          <w:sz w:val="24"/>
          <w:szCs w:val="24"/>
        </w:rPr>
        <w:t>’s</w:t>
      </w:r>
      <w:r w:rsidR="004C046B">
        <w:rPr>
          <w:rFonts w:ascii="Times New Roman" w:hAnsi="Times New Roman" w:cs="Times New Roman"/>
          <w:sz w:val="24"/>
          <w:szCs w:val="24"/>
        </w:rPr>
        <w:t xml:space="preserve"> recommendations and how they will be addressed in this docket.  </w:t>
      </w:r>
    </w:p>
    <w:p w:rsidR="000D028C" w:rsidRPr="000D028C" w:rsidP="0013607E" w14:paraId="75AB9F38" w14:textId="345055D5">
      <w:pPr>
        <w:keepNext/>
        <w:keepLines/>
        <w:spacing w:after="240" w:line="240" w:lineRule="auto"/>
        <w:ind w:left="4320"/>
        <w:jc w:val="both"/>
        <w:rPr>
          <w:rFonts w:ascii="Times New Roman" w:eastAsia="Calibri" w:hAnsi="Times New Roman" w:cs="Arial"/>
          <w:smallCaps/>
          <w:color w:val="auto"/>
          <w:sz w:val="24"/>
          <w:szCs w:val="24"/>
          <w:shd w:val="clear" w:color="auto" w:fill="auto"/>
        </w:rPr>
      </w:pPr>
      <w:r w:rsidRPr="000D028C">
        <w:rPr>
          <w:rFonts w:ascii="Times" w:eastAsia="Calibri" w:hAnsi="Times" w:cs="Arial"/>
          <w:sz w:val="24"/>
          <w:szCs w:val="24"/>
        </w:rPr>
        <w:t>Respectfully submitted</w:t>
      </w:r>
      <w:r w:rsidRPr="000D028C">
        <w:rPr>
          <w:rFonts w:ascii="Times New Roman" w:eastAsia="Calibri" w:hAnsi="Times New Roman" w:cs="Arial"/>
          <w:smallCaps/>
          <w:sz w:val="24"/>
          <w:szCs w:val="24"/>
        </w:rPr>
        <w:t>,</w:t>
      </w:r>
    </w:p>
    <w:p w:rsidR="000D028C" w:rsidRPr="000D028C" w:rsidP="0013607E" w14:paraId="54082991" w14:textId="77777777">
      <w:pPr>
        <w:keepNext/>
        <w:keepLines/>
        <w:spacing w:after="0" w:line="240" w:lineRule="auto"/>
        <w:ind w:left="4320"/>
        <w:jc w:val="both"/>
        <w:rPr>
          <w:rFonts w:ascii="Times New Roman" w:eastAsia="Calibri" w:hAnsi="Times New Roman" w:cs="Arial"/>
          <w:color w:val="auto"/>
          <w:sz w:val="24"/>
          <w:szCs w:val="24"/>
          <w:shd w:val="clear" w:color="auto" w:fill="auto"/>
        </w:rPr>
      </w:pPr>
    </w:p>
    <w:p w:rsidR="000D028C" w:rsidRPr="000D028C" w:rsidP="004D3FA6" w14:paraId="582F9430" w14:textId="6BCED030">
      <w:pPr>
        <w:keepNext/>
        <w:keepLines/>
        <w:tabs>
          <w:tab w:val="left" w:pos="4320"/>
        </w:tabs>
        <w:spacing w:after="120" w:line="240" w:lineRule="auto"/>
        <w:ind w:left="3600"/>
        <w:rPr>
          <w:rFonts w:ascii="Times New Roman" w:eastAsia="Calibri" w:hAnsi="Times New Roman" w:cs="Arial"/>
          <w:color w:val="auto"/>
          <w:sz w:val="24"/>
          <w:szCs w:val="24"/>
          <w:shd w:val="clear" w:color="auto" w:fill="auto"/>
        </w:rPr>
      </w:pPr>
      <w:r w:rsidRPr="000D028C">
        <w:rPr>
          <w:rFonts w:ascii="Times New Roman" w:eastAsia="Calibri" w:hAnsi="Times New Roman" w:cs="Arial"/>
          <w:sz w:val="24"/>
          <w:szCs w:val="24"/>
        </w:rPr>
        <w:tab/>
        <w:t xml:space="preserve">By: </w:t>
      </w:r>
      <w:r w:rsidR="004D3FA6">
        <w:rPr>
          <w:rFonts w:ascii="Times New Roman" w:eastAsia="Calibri" w:hAnsi="Times New Roman" w:cs="Arial"/>
          <w:sz w:val="24"/>
          <w:szCs w:val="24"/>
          <w:u w:val="single"/>
        </w:rPr>
        <w:t xml:space="preserve">/s/  Jared M. Jones </w:t>
      </w:r>
      <w:r w:rsidR="004D3FA6">
        <w:rPr>
          <w:rFonts w:ascii="Times New Roman" w:eastAsia="Calibri" w:hAnsi="Times New Roman" w:cs="Arial"/>
          <w:sz w:val="24"/>
          <w:szCs w:val="24"/>
          <w:u w:val="single"/>
        </w:rPr>
        <w:tab/>
      </w:r>
      <w:r w:rsidR="004D3FA6">
        <w:rPr>
          <w:rFonts w:ascii="Times New Roman" w:eastAsia="Calibri" w:hAnsi="Times New Roman" w:cs="Arial"/>
          <w:sz w:val="24"/>
          <w:szCs w:val="24"/>
          <w:u w:val="single"/>
        </w:rPr>
        <w:tab/>
      </w:r>
      <w:r w:rsidR="004D3FA6">
        <w:rPr>
          <w:rFonts w:ascii="Times New Roman" w:eastAsia="Calibri" w:hAnsi="Times New Roman" w:cs="Arial"/>
          <w:sz w:val="24"/>
          <w:szCs w:val="24"/>
          <w:u w:val="single"/>
        </w:rPr>
        <w:tab/>
      </w:r>
    </w:p>
    <w:p w:rsidR="000D028C" w:rsidRPr="000D028C" w:rsidP="0013607E" w14:paraId="3454E096" w14:textId="77777777">
      <w:pPr>
        <w:keepNext/>
        <w:keepLines/>
        <w:spacing w:after="0" w:line="240" w:lineRule="auto"/>
        <w:ind w:left="4770"/>
        <w:jc w:val="both"/>
        <w:rPr>
          <w:rFonts w:ascii="Times New Roman" w:eastAsia="Calibri" w:hAnsi="Times New Roman" w:cs="Arial"/>
          <w:color w:val="auto"/>
          <w:sz w:val="24"/>
          <w:szCs w:val="24"/>
          <w:shd w:val="clear" w:color="auto" w:fill="auto"/>
        </w:rPr>
      </w:pPr>
    </w:p>
    <w:p w:rsidR="000D028C" w:rsidRPr="000D028C" w:rsidP="0013607E" w14:paraId="3738AA97" w14:textId="77777777">
      <w:pPr>
        <w:keepNext/>
        <w:keepLines/>
        <w:spacing w:after="0" w:line="240" w:lineRule="auto"/>
        <w:ind w:left="4770"/>
        <w:jc w:val="both"/>
        <w:rPr>
          <w:rFonts w:ascii="Times New Roman" w:eastAsia="Calibri" w:hAnsi="Times New Roman" w:cs="Arial"/>
          <w:color w:val="auto"/>
          <w:sz w:val="24"/>
          <w:szCs w:val="24"/>
          <w:shd w:val="clear" w:color="auto" w:fill="auto"/>
        </w:rPr>
      </w:pPr>
      <w:r w:rsidRPr="000D028C">
        <w:rPr>
          <w:rFonts w:ascii="Times New Roman" w:eastAsia="Calibri" w:hAnsi="Times New Roman" w:cs="Arial"/>
          <w:sz w:val="24"/>
          <w:szCs w:val="24"/>
        </w:rPr>
        <w:t>Jaren A. Taylor</w:t>
      </w:r>
    </w:p>
    <w:p w:rsidR="000D028C" w:rsidRPr="000D028C" w:rsidP="0013607E" w14:paraId="13F5435E" w14:textId="77777777">
      <w:pPr>
        <w:keepNext/>
        <w:keepLines/>
        <w:spacing w:after="0" w:line="240" w:lineRule="auto"/>
        <w:ind w:left="4770"/>
        <w:jc w:val="both"/>
        <w:rPr>
          <w:rFonts w:ascii="Times New Roman" w:eastAsia="Calibri" w:hAnsi="Times New Roman" w:cs="Arial"/>
          <w:color w:val="auto"/>
          <w:sz w:val="24"/>
          <w:szCs w:val="24"/>
          <w:shd w:val="clear" w:color="auto" w:fill="auto"/>
        </w:rPr>
      </w:pPr>
      <w:r w:rsidRPr="000D028C">
        <w:rPr>
          <w:rFonts w:ascii="Times New Roman" w:eastAsia="Calibri" w:hAnsi="Times New Roman" w:cs="Arial"/>
          <w:sz w:val="24"/>
          <w:szCs w:val="24"/>
        </w:rPr>
        <w:t>State Bar No. 24059069</w:t>
      </w:r>
    </w:p>
    <w:p w:rsidR="000D028C" w:rsidRPr="000D028C" w:rsidP="0013607E" w14:paraId="43261ED3" w14:textId="77777777">
      <w:pPr>
        <w:keepNext/>
        <w:keepLines/>
        <w:spacing w:after="0" w:line="240" w:lineRule="auto"/>
        <w:ind w:left="4770"/>
        <w:jc w:val="both"/>
        <w:rPr>
          <w:rFonts w:ascii="Times New Roman" w:eastAsia="Calibri" w:hAnsi="Times New Roman" w:cs="Arial"/>
          <w:color w:val="auto"/>
          <w:sz w:val="24"/>
          <w:szCs w:val="24"/>
          <w:shd w:val="clear" w:color="auto" w:fill="auto"/>
        </w:rPr>
      </w:pPr>
      <w:r w:rsidRPr="000D028C">
        <w:rPr>
          <w:rFonts w:ascii="Times New Roman" w:eastAsia="Calibri" w:hAnsi="Times New Roman" w:cs="Arial"/>
          <w:sz w:val="24"/>
          <w:szCs w:val="24"/>
        </w:rPr>
        <w:t>Winston P. Skinner</w:t>
      </w:r>
    </w:p>
    <w:p w:rsidR="000D028C" w:rsidP="0013607E" w14:paraId="28796EE7" w14:textId="7FADDD4D">
      <w:pPr>
        <w:keepNext/>
        <w:keepLines/>
        <w:spacing w:after="0" w:line="240" w:lineRule="auto"/>
        <w:ind w:left="4770"/>
        <w:jc w:val="both"/>
        <w:rPr>
          <w:rFonts w:ascii="Times New Roman" w:eastAsia="Calibri" w:hAnsi="Times New Roman" w:cs="Arial"/>
          <w:color w:val="auto"/>
          <w:sz w:val="24"/>
          <w:szCs w:val="24"/>
          <w:shd w:val="clear" w:color="auto" w:fill="auto"/>
        </w:rPr>
      </w:pPr>
      <w:r w:rsidRPr="000D028C">
        <w:rPr>
          <w:rFonts w:ascii="Times New Roman" w:eastAsia="Calibri" w:hAnsi="Times New Roman" w:cs="Arial"/>
          <w:sz w:val="24"/>
          <w:szCs w:val="24"/>
        </w:rPr>
        <w:t>State Bar No. 24079348</w:t>
      </w:r>
    </w:p>
    <w:p w:rsidR="00C33D85" w:rsidP="0013607E" w14:paraId="4C0FE289" w14:textId="21D0DBE8">
      <w:pPr>
        <w:keepNext/>
        <w:keepLines/>
        <w:spacing w:after="0" w:line="240" w:lineRule="auto"/>
        <w:ind w:left="4770"/>
        <w:jc w:val="both"/>
        <w:rPr>
          <w:rFonts w:ascii="Times New Roman" w:eastAsia="Calibri" w:hAnsi="Times New Roman" w:cs="Arial"/>
          <w:color w:val="auto"/>
          <w:sz w:val="24"/>
          <w:szCs w:val="24"/>
          <w:shd w:val="clear" w:color="auto" w:fill="auto"/>
        </w:rPr>
      </w:pPr>
      <w:r>
        <w:rPr>
          <w:rFonts w:ascii="Times New Roman" w:eastAsia="Calibri" w:hAnsi="Times New Roman" w:cs="Arial"/>
          <w:sz w:val="24"/>
          <w:szCs w:val="24"/>
        </w:rPr>
        <w:t>Jared M. Jones</w:t>
      </w:r>
    </w:p>
    <w:p w:rsidR="00C33D85" w:rsidRPr="000D028C" w:rsidP="0013607E" w14:paraId="64911DC2" w14:textId="2D34A1E0">
      <w:pPr>
        <w:keepNext/>
        <w:keepLines/>
        <w:spacing w:after="0" w:line="240" w:lineRule="auto"/>
        <w:ind w:left="4770"/>
        <w:jc w:val="both"/>
        <w:rPr>
          <w:rFonts w:ascii="Times New Roman" w:eastAsia="Calibri" w:hAnsi="Times New Roman" w:cs="Arial"/>
          <w:color w:val="auto"/>
          <w:sz w:val="24"/>
          <w:szCs w:val="24"/>
          <w:shd w:val="clear" w:color="auto" w:fill="auto"/>
        </w:rPr>
      </w:pPr>
      <w:r>
        <w:rPr>
          <w:rFonts w:ascii="Times New Roman" w:eastAsia="Calibri" w:hAnsi="Times New Roman" w:cs="Arial"/>
          <w:sz w:val="24"/>
          <w:szCs w:val="24"/>
        </w:rPr>
        <w:t>State Bar No. 24117474</w:t>
      </w:r>
    </w:p>
    <w:p w:rsidR="000D028C" w:rsidRPr="000D028C" w:rsidP="0013607E" w14:paraId="55A05D1F" w14:textId="77777777">
      <w:pPr>
        <w:keepNext/>
        <w:keepLines/>
        <w:spacing w:after="0" w:line="240" w:lineRule="auto"/>
        <w:ind w:left="4770"/>
        <w:jc w:val="both"/>
        <w:rPr>
          <w:rFonts w:ascii="Times New Roman" w:eastAsia="Calibri" w:hAnsi="Times New Roman" w:cs="Arial"/>
          <w:smallCaps/>
          <w:color w:val="auto"/>
          <w:sz w:val="24"/>
          <w:szCs w:val="24"/>
          <w:shd w:val="clear" w:color="auto" w:fill="auto"/>
        </w:rPr>
      </w:pPr>
      <w:r w:rsidRPr="000D028C">
        <w:rPr>
          <w:rFonts w:ascii="Times New Roman" w:eastAsia="Calibri" w:hAnsi="Times New Roman" w:cs="Arial"/>
          <w:smallCaps/>
          <w:sz w:val="24"/>
          <w:szCs w:val="24"/>
        </w:rPr>
        <w:t>Vinson &amp; Elkins LLP</w:t>
      </w:r>
    </w:p>
    <w:p w:rsidR="000D028C" w:rsidRPr="000D028C" w:rsidP="0013607E" w14:paraId="042159DD" w14:textId="3582C09E">
      <w:pPr>
        <w:keepNext/>
        <w:keepLines/>
        <w:tabs>
          <w:tab w:val="left" w:pos="3600"/>
        </w:tabs>
        <w:spacing w:after="0" w:line="240" w:lineRule="auto"/>
        <w:ind w:left="4770"/>
        <w:rPr>
          <w:rFonts w:ascii="Times New Roman" w:eastAsia="Calibri" w:hAnsi="Times New Roman" w:cs="Arial"/>
          <w:bCs/>
          <w:color w:val="auto"/>
          <w:sz w:val="24"/>
          <w:szCs w:val="24"/>
          <w:shd w:val="clear" w:color="auto" w:fill="auto"/>
        </w:rPr>
      </w:pPr>
      <w:r w:rsidRPr="000D028C">
        <w:rPr>
          <w:rFonts w:ascii="Times New Roman" w:eastAsia="Calibri" w:hAnsi="Times New Roman" w:cs="Arial"/>
          <w:bCs/>
          <w:sz w:val="24"/>
          <w:szCs w:val="24"/>
        </w:rPr>
        <w:t>Trammell Crow Center</w:t>
      </w:r>
      <w:r w:rsidRPr="000D028C">
        <w:rPr>
          <w:rFonts w:ascii="Times New Roman" w:eastAsia="Calibri" w:hAnsi="Times New Roman" w:cs="Arial"/>
          <w:bCs/>
          <w:sz w:val="24"/>
          <w:szCs w:val="24"/>
        </w:rPr>
        <w:br/>
        <w:t>2001 Ross Avenue, Suite 3</w:t>
      </w:r>
      <w:r w:rsidR="006A7C2A">
        <w:rPr>
          <w:rFonts w:ascii="Times New Roman" w:eastAsia="Calibri" w:hAnsi="Times New Roman" w:cs="Arial"/>
          <w:bCs/>
          <w:sz w:val="24"/>
          <w:szCs w:val="24"/>
        </w:rPr>
        <w:t>9</w:t>
      </w:r>
      <w:r w:rsidRPr="000D028C">
        <w:rPr>
          <w:rFonts w:ascii="Times New Roman" w:eastAsia="Calibri" w:hAnsi="Times New Roman" w:cs="Arial"/>
          <w:bCs/>
          <w:sz w:val="24"/>
          <w:szCs w:val="24"/>
        </w:rPr>
        <w:t>00</w:t>
      </w:r>
      <w:r w:rsidRPr="000D028C">
        <w:rPr>
          <w:rFonts w:ascii="Times New Roman" w:eastAsia="Calibri" w:hAnsi="Times New Roman" w:cs="Arial"/>
          <w:bCs/>
          <w:sz w:val="24"/>
          <w:szCs w:val="24"/>
        </w:rPr>
        <w:br/>
        <w:t>Dallas, Texas 75201-2975</w:t>
      </w:r>
    </w:p>
    <w:p w:rsidR="000D028C" w:rsidRPr="000D028C" w:rsidP="0013607E" w14:paraId="0E812078" w14:textId="77777777">
      <w:pPr>
        <w:keepNext/>
        <w:keepLines/>
        <w:tabs>
          <w:tab w:val="left" w:pos="3600"/>
        </w:tabs>
        <w:spacing w:after="0" w:line="240" w:lineRule="auto"/>
        <w:ind w:left="4770"/>
        <w:rPr>
          <w:rFonts w:ascii="Times New Roman" w:eastAsia="Calibri" w:hAnsi="Times New Roman" w:cs="Arial"/>
          <w:bCs/>
          <w:color w:val="auto"/>
          <w:sz w:val="24"/>
          <w:szCs w:val="24"/>
          <w:shd w:val="clear" w:color="auto" w:fill="auto"/>
        </w:rPr>
      </w:pPr>
      <w:r w:rsidRPr="000D028C">
        <w:rPr>
          <w:rFonts w:ascii="Times New Roman" w:eastAsia="Calibri" w:hAnsi="Times New Roman" w:cs="Arial"/>
          <w:bCs/>
          <w:sz w:val="24"/>
          <w:szCs w:val="24"/>
        </w:rPr>
        <w:t xml:space="preserve">Telephone:  (214) </w:t>
      </w:r>
      <w:r w:rsidRPr="000D028C">
        <w:rPr>
          <w:rFonts w:ascii="Times New Roman" w:eastAsia="Calibri" w:hAnsi="Times New Roman" w:cs="Arial"/>
          <w:sz w:val="24"/>
          <w:szCs w:val="24"/>
        </w:rPr>
        <w:t>220-7754</w:t>
      </w:r>
    </w:p>
    <w:p w:rsidR="000D028C" w:rsidRPr="000D028C" w:rsidP="0013607E" w14:paraId="0AC76361" w14:textId="77777777">
      <w:pPr>
        <w:keepNext/>
        <w:keepLines/>
        <w:tabs>
          <w:tab w:val="left" w:pos="3600"/>
        </w:tabs>
        <w:spacing w:after="0" w:line="240" w:lineRule="auto"/>
        <w:ind w:left="4770"/>
        <w:rPr>
          <w:rFonts w:ascii="Times New Roman" w:eastAsia="Calibri" w:hAnsi="Times New Roman" w:cs="Arial"/>
          <w:bCs/>
          <w:color w:val="auto"/>
          <w:sz w:val="24"/>
          <w:szCs w:val="24"/>
          <w:shd w:val="clear" w:color="auto" w:fill="auto"/>
        </w:rPr>
      </w:pPr>
      <w:r w:rsidRPr="000D028C">
        <w:rPr>
          <w:rFonts w:ascii="Times New Roman" w:eastAsia="Calibri" w:hAnsi="Times New Roman" w:cs="Arial"/>
          <w:bCs/>
          <w:sz w:val="24"/>
          <w:szCs w:val="24"/>
        </w:rPr>
        <w:t>Facsimile:  (214) 999-</w:t>
      </w:r>
      <w:r w:rsidRPr="000D028C">
        <w:rPr>
          <w:rFonts w:ascii="Times New Roman" w:eastAsia="Calibri" w:hAnsi="Times New Roman" w:cs="Arial"/>
          <w:sz w:val="24"/>
          <w:szCs w:val="24"/>
        </w:rPr>
        <w:t>7754</w:t>
      </w:r>
      <w:r w:rsidRPr="000D028C">
        <w:rPr>
          <w:rFonts w:ascii="Times New Roman" w:eastAsia="Calibri" w:hAnsi="Times New Roman" w:cs="Arial"/>
          <w:bCs/>
          <w:sz w:val="24"/>
          <w:szCs w:val="24"/>
        </w:rPr>
        <w:t xml:space="preserve"> </w:t>
      </w:r>
    </w:p>
    <w:p w:rsidR="000D028C" w:rsidRPr="000D028C" w:rsidP="0013607E" w14:paraId="1E3C342A" w14:textId="77777777">
      <w:pPr>
        <w:keepNext/>
        <w:keepLines/>
        <w:tabs>
          <w:tab w:val="left" w:pos="4770"/>
        </w:tabs>
        <w:spacing w:after="0" w:line="240" w:lineRule="auto"/>
        <w:ind w:left="3600"/>
        <w:jc w:val="both"/>
        <w:rPr>
          <w:rFonts w:ascii="Times New Roman" w:eastAsia="Calibri" w:hAnsi="Times New Roman" w:cs="Arial"/>
          <w:color w:val="auto"/>
          <w:sz w:val="24"/>
          <w:szCs w:val="24"/>
          <w:shd w:val="clear" w:color="auto" w:fill="auto"/>
        </w:rPr>
      </w:pPr>
      <w:r w:rsidRPr="000D028C">
        <w:rPr>
          <w:rFonts w:ascii="Times New Roman" w:eastAsia="Calibri" w:hAnsi="Times New Roman" w:cs="Arial"/>
          <w:sz w:val="24"/>
          <w:szCs w:val="24"/>
        </w:rPr>
        <w:tab/>
        <w:t>jarentaylor@velaw.com</w:t>
      </w:r>
    </w:p>
    <w:p w:rsidR="00C33D85" w:rsidP="0013607E" w14:paraId="06A7BE2E" w14:textId="35147DBF">
      <w:pPr>
        <w:keepNext/>
        <w:keepLines/>
        <w:tabs>
          <w:tab w:val="left" w:pos="4770"/>
        </w:tabs>
        <w:spacing w:after="0" w:line="240" w:lineRule="auto"/>
        <w:ind w:left="3600"/>
        <w:jc w:val="both"/>
        <w:rPr>
          <w:rFonts w:ascii="Times New Roman" w:eastAsia="Calibri" w:hAnsi="Times New Roman" w:cs="Arial"/>
          <w:color w:val="auto"/>
          <w:sz w:val="24"/>
          <w:szCs w:val="24"/>
          <w:shd w:val="clear" w:color="auto" w:fill="auto"/>
        </w:rPr>
      </w:pPr>
      <w:r w:rsidRPr="000D028C">
        <w:rPr>
          <w:rFonts w:ascii="Times New Roman" w:eastAsia="Calibri" w:hAnsi="Times New Roman" w:cs="Arial"/>
          <w:sz w:val="24"/>
          <w:szCs w:val="24"/>
        </w:rPr>
        <w:tab/>
      </w:r>
      <w:r w:rsidRPr="000D028C">
        <w:rPr>
          <w:rFonts w:ascii="Times New Roman" w:eastAsia="Calibri" w:hAnsi="Times New Roman" w:cs="Arial"/>
          <w:sz w:val="24"/>
          <w:szCs w:val="24"/>
        </w:rPr>
        <w:t>wskinner@velaw.com</w:t>
      </w:r>
      <w:r>
        <w:rPr>
          <w:rFonts w:ascii="Times New Roman" w:eastAsia="Calibri" w:hAnsi="Times New Roman" w:cs="Arial"/>
          <w:sz w:val="24"/>
          <w:szCs w:val="24"/>
        </w:rPr>
        <w:t xml:space="preserve"> </w:t>
      </w:r>
    </w:p>
    <w:p w:rsidR="00C33D85" w:rsidRPr="000D028C" w:rsidP="0013607E" w14:paraId="6D6CEBC3" w14:textId="6E28D02A">
      <w:pPr>
        <w:keepNext/>
        <w:keepLines/>
        <w:tabs>
          <w:tab w:val="left" w:pos="4770"/>
        </w:tabs>
        <w:spacing w:after="240" w:line="240" w:lineRule="auto"/>
        <w:ind w:left="3600"/>
        <w:jc w:val="both"/>
        <w:rPr>
          <w:rFonts w:ascii="Times New Roman" w:eastAsia="Calibri" w:hAnsi="Times New Roman" w:cs="Arial"/>
          <w:color w:val="auto"/>
          <w:sz w:val="24"/>
          <w:szCs w:val="24"/>
          <w:shd w:val="clear" w:color="auto" w:fill="auto"/>
        </w:rPr>
      </w:pPr>
      <w:r>
        <w:rPr>
          <w:rFonts w:ascii="Times New Roman" w:eastAsia="Calibri" w:hAnsi="Times New Roman" w:cs="Arial"/>
          <w:sz w:val="24"/>
          <w:szCs w:val="24"/>
        </w:rPr>
        <w:tab/>
        <w:t>jjones@velaw.com</w:t>
      </w:r>
    </w:p>
    <w:p w:rsidR="00B958C7" w:rsidP="00B958C7" w14:paraId="63AC5170" w14:textId="1BC7F3F8">
      <w:pPr>
        <w:keepNext/>
        <w:keepLines/>
        <w:tabs>
          <w:tab w:val="left" w:pos="4320"/>
        </w:tabs>
        <w:spacing w:after="240" w:line="240" w:lineRule="auto"/>
        <w:ind w:left="4320"/>
        <w:jc w:val="both"/>
        <w:rPr>
          <w:rFonts w:ascii="Times New Roman" w:eastAsia="Calibri" w:hAnsi="Times New Roman" w:cs="Arial"/>
          <w:b/>
          <w:color w:val="auto"/>
          <w:sz w:val="24"/>
          <w:szCs w:val="24"/>
          <w:shd w:val="clear" w:color="auto" w:fill="auto"/>
        </w:rPr>
      </w:pPr>
      <w:r w:rsidRPr="000D028C">
        <w:rPr>
          <w:rFonts w:ascii="Times New Roman" w:eastAsia="Calibri" w:hAnsi="Times New Roman" w:cs="Arial"/>
          <w:b/>
          <w:sz w:val="24"/>
          <w:szCs w:val="24"/>
        </w:rPr>
        <w:t>ATTORNEYS FOR ONCOR ELECTRIC DELIVERY COMPANY LL</w:t>
      </w:r>
      <w:r w:rsidR="00FC0291">
        <w:rPr>
          <w:rFonts w:ascii="Times New Roman" w:eastAsia="Calibri" w:hAnsi="Times New Roman" w:cs="Arial"/>
          <w:b/>
          <w:sz w:val="24"/>
          <w:szCs w:val="24"/>
        </w:rPr>
        <w:t>C</w:t>
      </w:r>
    </w:p>
    <w:p w:rsidR="00B958C7" w:rsidP="00B958C7" w14:paraId="480BB18C" w14:textId="03A713D7">
      <w:pPr>
        <w:keepNext/>
        <w:keepLines/>
        <w:tabs>
          <w:tab w:val="left" w:pos="4320"/>
        </w:tabs>
        <w:spacing w:after="240" w:line="240" w:lineRule="auto"/>
        <w:ind w:left="4320"/>
        <w:jc w:val="both"/>
        <w:rPr>
          <w:rFonts w:ascii="Times New Roman" w:eastAsia="Calibri" w:hAnsi="Times New Roman" w:cs="Arial"/>
          <w:b/>
          <w:color w:val="auto"/>
          <w:sz w:val="24"/>
          <w:szCs w:val="24"/>
          <w:shd w:val="clear" w:color="auto" w:fill="auto"/>
        </w:rPr>
      </w:pPr>
    </w:p>
    <w:p w:rsidR="00B958C7" w:rsidRPr="00FC0291" w:rsidP="0013607E" w14:paraId="3BB0D9A0" w14:textId="77777777">
      <w:pPr>
        <w:keepNext/>
        <w:keepLines/>
        <w:tabs>
          <w:tab w:val="left" w:pos="4320"/>
        </w:tabs>
        <w:spacing w:after="240" w:line="240" w:lineRule="auto"/>
        <w:ind w:left="4320"/>
        <w:jc w:val="both"/>
        <w:rPr>
          <w:rFonts w:ascii="Times New Roman" w:eastAsia="Calibri" w:hAnsi="Times New Roman" w:cs="Arial"/>
          <w:b/>
          <w:color w:val="auto"/>
          <w:sz w:val="24"/>
          <w:szCs w:val="24"/>
          <w:shd w:val="clear" w:color="auto" w:fill="auto"/>
        </w:rPr>
      </w:pPr>
    </w:p>
    <w:p w:rsidR="00487369" w:rsidP="0013607E" w14:paraId="3BC920EB" w14:textId="77777777">
      <w:pPr>
        <w:keepNext/>
        <w:keepLines/>
        <w:tabs>
          <w:tab w:val="left" w:pos="4320"/>
        </w:tabs>
        <w:spacing w:after="240" w:line="240" w:lineRule="auto"/>
        <w:ind w:left="4320"/>
        <w:jc w:val="both"/>
        <w:rPr>
          <w:rFonts w:ascii="Times New Roman" w:eastAsia="Calibri" w:hAnsi="Times New Roman" w:cs="Arial"/>
          <w:b/>
          <w:bCs/>
          <w:color w:val="auto"/>
          <w:sz w:val="24"/>
          <w:szCs w:val="24"/>
          <w:u w:val="single"/>
          <w:shd w:val="clear" w:color="auto" w:fill="auto"/>
        </w:rPr>
      </w:pPr>
    </w:p>
    <w:p w:rsidR="000D028C" w:rsidRPr="000D028C" w:rsidP="000D028C" w14:paraId="60D9CADC" w14:textId="69E30671">
      <w:pPr>
        <w:keepNext/>
        <w:keepLines/>
        <w:spacing w:after="240" w:line="240" w:lineRule="auto"/>
        <w:jc w:val="center"/>
        <w:rPr>
          <w:rFonts w:ascii="Times New Roman" w:eastAsia="Calibri" w:hAnsi="Times New Roman" w:cs="Arial"/>
          <w:color w:val="auto"/>
          <w:sz w:val="24"/>
          <w:szCs w:val="24"/>
          <w:shd w:val="clear" w:color="auto" w:fill="auto"/>
        </w:rPr>
      </w:pPr>
      <w:r w:rsidRPr="000D028C">
        <w:rPr>
          <w:rFonts w:ascii="Times New Roman" w:eastAsia="Calibri" w:hAnsi="Times New Roman" w:cs="Arial"/>
          <w:b/>
          <w:bCs/>
          <w:sz w:val="24"/>
          <w:szCs w:val="24"/>
          <w:u w:val="single"/>
        </w:rPr>
        <w:t>CERTIFICATE OF SERVICE</w:t>
      </w:r>
    </w:p>
    <w:p w:rsidR="000D028C" w:rsidRPr="000D028C" w:rsidP="000D028C" w14:paraId="1E48460C" w14:textId="018EF889">
      <w:pPr>
        <w:widowControl w:val="0"/>
        <w:spacing w:after="120" w:line="240" w:lineRule="auto"/>
        <w:jc w:val="both"/>
        <w:rPr>
          <w:rFonts w:ascii="Times New Roman" w:eastAsia="Calibri" w:hAnsi="Times New Roman" w:cs="Arial"/>
          <w:color w:val="auto"/>
          <w:sz w:val="24"/>
          <w:szCs w:val="24"/>
          <w:shd w:val="clear" w:color="auto" w:fill="auto"/>
        </w:rPr>
      </w:pPr>
      <w:r w:rsidRPr="000D028C">
        <w:rPr>
          <w:rFonts w:ascii="Times New Roman" w:eastAsia="Calibri" w:hAnsi="Times New Roman" w:cs="Arial"/>
          <w:sz w:val="24"/>
          <w:szCs w:val="24"/>
        </w:rPr>
        <w:tab/>
        <w:t xml:space="preserve">It is hereby certified that a copy of the foregoing has been served by email on all parties of record who have provided an email address on this the </w:t>
      </w:r>
      <w:r w:rsidR="004D3FA6">
        <w:rPr>
          <w:rFonts w:ascii="Times New Roman" w:eastAsia="Calibri" w:hAnsi="Times New Roman" w:cs="Arial"/>
          <w:sz w:val="24"/>
          <w:szCs w:val="24"/>
        </w:rPr>
        <w:t>1</w:t>
      </w:r>
      <w:r w:rsidRPr="004D3FA6" w:rsidR="004D3FA6">
        <w:rPr>
          <w:rFonts w:ascii="Times New Roman" w:eastAsia="Calibri" w:hAnsi="Times New Roman" w:cs="Arial"/>
          <w:sz w:val="24"/>
          <w:szCs w:val="24"/>
          <w:vertAlign w:val="superscript"/>
        </w:rPr>
        <w:t>st</w:t>
      </w:r>
      <w:r w:rsidR="004D3FA6">
        <w:rPr>
          <w:rFonts w:ascii="Times New Roman" w:eastAsia="Calibri" w:hAnsi="Times New Roman" w:cs="Arial"/>
          <w:sz w:val="24"/>
          <w:szCs w:val="24"/>
        </w:rPr>
        <w:t xml:space="preserve"> </w:t>
      </w:r>
      <w:r w:rsidRPr="000D028C">
        <w:rPr>
          <w:rFonts w:ascii="Times New Roman" w:eastAsia="Calibri" w:hAnsi="Times New Roman" w:cs="Arial"/>
          <w:sz w:val="24"/>
          <w:szCs w:val="24"/>
        </w:rPr>
        <w:t xml:space="preserve">day of </w:t>
      </w:r>
      <w:r w:rsidR="004D3FA6">
        <w:rPr>
          <w:rFonts w:ascii="Times New Roman" w:eastAsia="Calibri" w:hAnsi="Times New Roman" w:cs="Arial"/>
          <w:sz w:val="24"/>
          <w:szCs w:val="24"/>
        </w:rPr>
        <w:t>December</w:t>
      </w:r>
      <w:r w:rsidRPr="000D028C">
        <w:rPr>
          <w:rFonts w:ascii="Times New Roman" w:eastAsia="Calibri" w:hAnsi="Times New Roman" w:cs="Arial"/>
          <w:sz w:val="24"/>
          <w:szCs w:val="24"/>
        </w:rPr>
        <w:t>, 2021, in accordance with the Commission’s Second Order Suspending Rules issued on July 16, 2020, in Project No. 50664.</w:t>
      </w:r>
    </w:p>
    <w:p w:rsidR="000D028C" w:rsidRPr="000D028C" w:rsidP="000D028C" w14:paraId="55B3F1F5" w14:textId="77777777">
      <w:pPr>
        <w:widowControl w:val="0"/>
        <w:spacing w:after="120" w:line="240" w:lineRule="auto"/>
        <w:jc w:val="both"/>
        <w:rPr>
          <w:rFonts w:ascii="Times New Roman" w:eastAsia="Calibri" w:hAnsi="Times New Roman" w:cs="Arial"/>
          <w:color w:val="auto"/>
          <w:sz w:val="24"/>
          <w:szCs w:val="24"/>
          <w:shd w:val="clear" w:color="auto" w:fill="auto"/>
        </w:rPr>
      </w:pPr>
    </w:p>
    <w:p w:rsidR="000D028C" w:rsidRPr="000D028C" w:rsidP="000D028C" w14:paraId="7356154C" w14:textId="77777777">
      <w:pPr>
        <w:widowControl w:val="0"/>
        <w:spacing w:after="120" w:line="240" w:lineRule="auto"/>
        <w:jc w:val="both"/>
        <w:rPr>
          <w:rFonts w:ascii="Times New Roman" w:eastAsia="Calibri" w:hAnsi="Times New Roman" w:cs="Arial"/>
          <w:color w:val="auto"/>
          <w:sz w:val="24"/>
          <w:szCs w:val="24"/>
          <w:shd w:val="clear" w:color="auto" w:fill="auto"/>
        </w:rPr>
      </w:pPr>
    </w:p>
    <w:p w:rsidR="007B2E7F" w:rsidRPr="00EE5486" w:rsidP="004D3FA6" w14:paraId="0110204C" w14:textId="613A044B">
      <w:pPr>
        <w:spacing w:after="240" w:line="240" w:lineRule="auto"/>
        <w:ind w:left="2880" w:firstLine="720"/>
        <w:jc w:val="center"/>
        <w:rPr>
          <w:rFonts w:ascii="Times New Roman" w:eastAsia="Calibri" w:hAnsi="Times New Roman" w:cs="Arial"/>
          <w:color w:val="auto"/>
          <w:sz w:val="24"/>
          <w:szCs w:val="24"/>
          <w:shd w:val="clear" w:color="auto" w:fill="auto"/>
        </w:rPr>
      </w:pPr>
      <w:r>
        <w:rPr>
          <w:rFonts w:ascii="Times New Roman" w:eastAsia="Calibri" w:hAnsi="Times New Roman" w:cs="Arial"/>
          <w:sz w:val="24"/>
          <w:szCs w:val="24"/>
          <w:u w:val="single"/>
        </w:rPr>
        <w:t xml:space="preserve">/s/  Jared M. Jones </w:t>
      </w:r>
      <w:r>
        <w:rPr>
          <w:rFonts w:ascii="Times New Roman" w:eastAsia="Calibri" w:hAnsi="Times New Roman" w:cs="Arial"/>
          <w:sz w:val="24"/>
          <w:szCs w:val="24"/>
          <w:u w:val="single"/>
        </w:rPr>
        <w:tab/>
      </w:r>
      <w:r>
        <w:rPr>
          <w:rFonts w:ascii="Times New Roman" w:eastAsia="Calibri" w:hAnsi="Times New Roman" w:cs="Arial"/>
          <w:sz w:val="24"/>
          <w:szCs w:val="24"/>
          <w:u w:val="single"/>
        </w:rPr>
        <w:tab/>
      </w:r>
      <w:r>
        <w:rPr>
          <w:rFonts w:ascii="Times New Roman" w:eastAsia="Calibri" w:hAnsi="Times New Roman" w:cs="Arial"/>
          <w:sz w:val="24"/>
          <w:szCs w:val="24"/>
          <w:u w:val="single"/>
        </w:rPr>
        <w:tab/>
      </w:r>
      <w:r>
        <w:rPr>
          <w:rFonts w:ascii="Times New Roman" w:eastAsia="Calibri" w:hAnsi="Times New Roman" w:cs="Arial"/>
          <w:sz w:val="24"/>
          <w:szCs w:val="24"/>
          <w:u w:val="single"/>
        </w:rPr>
        <w:tab/>
      </w:r>
    </w:p>
    <w:sectPr>
      <w:headerReference w:type="even" r:id="rId5"/>
      <w:headerReference w:type="default" r:id="rId6"/>
      <w:footerReference w:type="even" r:id="rId7"/>
      <w:footerReference w:type="default" r:id="rId8"/>
      <w:headerReference w:type="first" r:id="rId9"/>
      <w:footerReference w:type="first" r:id="rId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3607E" w14:paraId="1B56619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958C7" w14:paraId="664D55E6" w14:textId="1F8F59E9">
    <w:pPr>
      <w:pStyle w:val="Footer"/>
      <w:rPr>
        <w:rFonts w:ascii="Times New Roman" w:eastAsia="Calibri" w:hAnsi="Times New Roman" w:cs="Arial"/>
        <w:b/>
        <w:smallCaps/>
        <w:color w:val="auto"/>
        <w:u w:val="single"/>
        <w:shd w:val="clear" w:color="auto" w:fill="auto"/>
      </w:rPr>
    </w:pPr>
    <w:r>
      <w:rPr>
        <w:rFonts w:ascii="Times New Roman" w:eastAsia="Calibri" w:hAnsi="Times New Roman" w:cs="Arial"/>
        <w:b/>
        <w:smallCaps/>
        <w:u w:val="single"/>
      </w:rPr>
      <w:t>Oncor’s Request to Address</w:t>
    </w:r>
    <w:r w:rsidR="00CE3DB6">
      <w:rPr>
        <w:rFonts w:ascii="Times New Roman" w:eastAsia="Calibri" w:hAnsi="Times New Roman" w:cs="Arial"/>
        <w:b/>
        <w:smallCaps/>
        <w:u w:val="single"/>
      </w:rPr>
      <w:t xml:space="preserve"> </w:t>
    </w:r>
    <w:r>
      <w:rPr>
        <w:rFonts w:ascii="Times New Roman" w:eastAsia="Calibri" w:hAnsi="Times New Roman" w:cs="Arial"/>
        <w:b/>
        <w:smallCaps/>
        <w:u w:val="single"/>
      </w:rPr>
      <w:t xml:space="preserve">Texas Parks and Wildlife Department </w:t>
    </w:r>
  </w:p>
  <w:p w:rsidR="00B958C7" w14:paraId="395609B9" w14:textId="597CFF53">
    <w:pPr>
      <w:pStyle w:val="Footer"/>
      <w:rPr>
        <w:rFonts w:ascii="Times New Roman" w:eastAsia="Calibri" w:hAnsi="Times New Roman" w:cs="Arial"/>
        <w:b/>
        <w:smallCaps/>
        <w:color w:val="auto"/>
        <w:u w:val="single"/>
        <w:shd w:val="clear" w:color="auto" w:fill="auto"/>
      </w:rPr>
    </w:pPr>
    <w:r>
      <w:rPr>
        <w:rFonts w:ascii="Times New Roman" w:eastAsia="Calibri" w:hAnsi="Times New Roman" w:cs="Arial"/>
        <w:b/>
        <w:smallCaps/>
        <w:u w:val="single"/>
      </w:rPr>
      <w:t>Recommendations at the initial Prehearing Conference</w:t>
    </w:r>
  </w:p>
  <w:p w:rsidR="000D028C" w14:paraId="00F89E11" w14:textId="3042504F">
    <w:pPr>
      <w:pStyle w:val="Footer"/>
      <w:rPr>
        <w:color w:val="auto"/>
        <w:shd w:val="clear" w:color="auto" w:fill="auto"/>
      </w:rPr>
    </w:pPr>
    <w:r w:rsidRPr="000D028C">
      <w:rPr>
        <w:rFonts w:ascii="Times New Roman" w:eastAsia="Calibri" w:hAnsi="Times New Roman" w:cs="Arial"/>
        <w:b/>
        <w:smallCaps/>
      </w:rPr>
      <w:t xml:space="preserve">Page </w:t>
    </w:r>
    <w:r w:rsidRPr="000D028C">
      <w:rPr>
        <w:rFonts w:ascii="Times New Roman" w:eastAsia="Calibri" w:hAnsi="Times New Roman" w:cs="Arial"/>
        <w:b/>
        <w:bCs/>
        <w:smallCaps/>
      </w:rPr>
      <w:fldChar w:fldCharType="begin"/>
    </w:r>
    <w:r w:rsidRPr="000D028C">
      <w:rPr>
        <w:rFonts w:ascii="Times New Roman" w:eastAsia="Calibri" w:hAnsi="Times New Roman" w:cs="Arial"/>
        <w:b/>
        <w:bCs/>
        <w:smallCaps/>
      </w:rPr>
      <w:instrText xml:space="preserve"> PAGE  \* Arabic  \* MERGEFORMAT </w:instrText>
    </w:r>
    <w:r w:rsidRPr="000D028C">
      <w:rPr>
        <w:rFonts w:ascii="Times New Roman" w:eastAsia="Calibri" w:hAnsi="Times New Roman" w:cs="Arial"/>
        <w:b/>
        <w:bCs/>
        <w:smallCaps/>
      </w:rPr>
      <w:fldChar w:fldCharType="separate"/>
    </w:r>
    <w:r w:rsidR="00010F11">
      <w:rPr>
        <w:rFonts w:ascii="Times New Roman" w:eastAsia="Calibri" w:hAnsi="Times New Roman" w:cs="Arial"/>
        <w:b/>
        <w:bCs/>
        <w:smallCaps/>
        <w:noProof/>
      </w:rPr>
      <w:t>2</w:t>
    </w:r>
    <w:r w:rsidRPr="000D028C">
      <w:rPr>
        <w:rFonts w:ascii="Times New Roman" w:eastAsia="Calibri" w:hAnsi="Times New Roman" w:cs="Arial"/>
        <w:b/>
        <w:bCs/>
        <w:smallCaps/>
      </w:rPr>
      <w:fldChar w:fldCharType="end"/>
    </w:r>
    <w:r w:rsidRPr="000D028C">
      <w:rPr>
        <w:rFonts w:ascii="Times New Roman" w:eastAsia="Calibri" w:hAnsi="Times New Roman" w:cs="Arial"/>
        <w:b/>
        <w:smallCaps/>
      </w:rPr>
      <w:t xml:space="preserve"> of </w:t>
    </w:r>
    <w:r w:rsidRPr="000D028C">
      <w:rPr>
        <w:rFonts w:ascii="Times New Roman" w:eastAsia="Calibri" w:hAnsi="Times New Roman" w:cs="Arial"/>
        <w:b/>
        <w:bCs/>
        <w:smallCaps/>
      </w:rPr>
      <w:fldChar w:fldCharType="begin"/>
    </w:r>
    <w:r w:rsidRPr="000D028C">
      <w:rPr>
        <w:rFonts w:ascii="Times New Roman" w:eastAsia="Calibri" w:hAnsi="Times New Roman" w:cs="Arial"/>
        <w:b/>
        <w:bCs/>
        <w:smallCaps/>
      </w:rPr>
      <w:instrText xml:space="preserve"> NUMPAGES  \* Arabic  \* MERGEFORMAT </w:instrText>
    </w:r>
    <w:r w:rsidRPr="000D028C">
      <w:rPr>
        <w:rFonts w:ascii="Times New Roman" w:eastAsia="Calibri" w:hAnsi="Times New Roman" w:cs="Arial"/>
        <w:b/>
        <w:bCs/>
        <w:smallCaps/>
      </w:rPr>
      <w:fldChar w:fldCharType="separate"/>
    </w:r>
    <w:r w:rsidR="00010F11">
      <w:rPr>
        <w:rFonts w:ascii="Times New Roman" w:eastAsia="Calibri" w:hAnsi="Times New Roman" w:cs="Arial"/>
        <w:b/>
        <w:bCs/>
        <w:smallCaps/>
        <w:noProof/>
      </w:rPr>
      <w:t>4</w:t>
    </w:r>
    <w:r w:rsidRPr="000D028C">
      <w:rPr>
        <w:rFonts w:ascii="Times New Roman" w:eastAsia="Calibri" w:hAnsi="Times New Roman" w:cs="Arial"/>
        <w:b/>
        <w:bCs/>
        <w:smallCaps/>
      </w:rPr>
      <w:fldChar w:fldCharType="end"/>
    </w:r>
  </w:p>
  <w:p w:rsidR="004E3922" w:rsidRPr="007B2E7F" w:rsidP="004E3922" w14:paraId="69BA1470" w14:textId="737D702C">
    <w:pPr>
      <w:pStyle w:val="Footer"/>
      <w:rPr>
        <w:color w:val="auto"/>
        <w:shd w:val="clear" w:color="auto" w:fil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3607E" w14:paraId="2605D34B" w14:textId="77777777">
    <w:pPr>
      <w:pStyle w:val="Footer"/>
      <w:rPr>
        <w:color w:val="auto"/>
        <w:shd w:val="clear" w:color="auto" w:fil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711217" w:rsidP="004B6CCC" w14:paraId="3F8EF81D" w14:textId="77777777">
      <w:pPr>
        <w:spacing w:after="0" w:line="240" w:lineRule="auto"/>
      </w:pPr>
      <w:r>
        <w:separator/>
      </w:r>
    </w:p>
  </w:footnote>
  <w:footnote w:type="continuationSeparator" w:id="1">
    <w:p w:rsidR="00711217" w:rsidP="004B6CCC" w14:paraId="79EB58DF" w14:textId="77777777">
      <w:pPr>
        <w:spacing w:after="0" w:line="240" w:lineRule="auto"/>
      </w:pPr>
      <w:r>
        <w:continuationSeparator/>
      </w:r>
    </w:p>
  </w:footnote>
  <w:footnote w:id="2">
    <w:p w:rsidR="00386EFF" w:rsidRPr="00FC0291" w:rsidP="00386EFF" w14:paraId="3C0D180C" w14:textId="5833316C">
      <w:pPr>
        <w:pStyle w:val="FootnoteText"/>
        <w:rPr>
          <w:rFonts w:ascii="Times New Roman" w:hAnsi="Times New Roman" w:cs="Times New Roman"/>
          <w:color w:val="auto"/>
          <w:shd w:val="clear" w:color="auto" w:fill="auto"/>
        </w:rPr>
      </w:pPr>
      <w:r w:rsidRPr="00FC0291">
        <w:rPr>
          <w:rStyle w:val="FootnoteReference"/>
          <w:rFonts w:ascii="Times New Roman" w:hAnsi="Times New Roman" w:cs="Times New Roman"/>
        </w:rPr>
        <w:footnoteRef/>
      </w:r>
      <w:r w:rsidRPr="00FC0291">
        <w:rPr>
          <w:rFonts w:ascii="Times New Roman" w:hAnsi="Times New Roman" w:cs="Times New Roman"/>
        </w:rPr>
        <w:t xml:space="preserve"> </w:t>
      </w:r>
      <w:r w:rsidRPr="00FC0291">
        <w:rPr>
          <w:rFonts w:ascii="Times New Roman" w:hAnsi="Times New Roman" w:cs="Times New Roman"/>
          <w:i/>
          <w:iCs/>
        </w:rPr>
        <w:t>See</w:t>
      </w:r>
      <w:r w:rsidR="0013607E">
        <w:rPr>
          <w:rFonts w:ascii="Times New Roman" w:hAnsi="Times New Roman" w:cs="Times New Roman"/>
          <w:i/>
          <w:iCs/>
        </w:rPr>
        <w:t xml:space="preserve"> </w:t>
      </w:r>
      <w:r w:rsidRPr="00FC0291">
        <w:rPr>
          <w:rFonts w:ascii="Times New Roman" w:hAnsi="Times New Roman" w:cs="Times New Roman"/>
          <w:i/>
          <w:iCs/>
        </w:rPr>
        <w:t>Application of Oncor Electric Delivery Company LLC to Amend Its Certificate of Convenience and Necessity for the Johnson Draw POD—Flat Iron Substation 138-kV Transmission Line Project in Midland County</w:t>
      </w:r>
      <w:r w:rsidRPr="00FC0291">
        <w:rPr>
          <w:rFonts w:ascii="Times New Roman" w:hAnsi="Times New Roman" w:cs="Times New Roman"/>
        </w:rPr>
        <w:t>, Docket No. 52327, Order No. 6 (Oct. 11, 2021).</w:t>
      </w:r>
    </w:p>
  </w:footnote>
  <w:footnote w:id="3">
    <w:p w:rsidR="00386EFF" w:rsidRPr="00386EFF" w14:paraId="21783C76" w14:textId="3CFA2123">
      <w:pPr>
        <w:pStyle w:val="FootnoteText"/>
        <w:rPr>
          <w:rFonts w:ascii="Times New Roman" w:hAnsi="Times New Roman" w:cs="Times New Roman"/>
          <w:i/>
          <w:iCs/>
          <w:color w:val="auto"/>
          <w:shd w:val="clear" w:color="auto" w:fill="auto"/>
        </w:rPr>
      </w:pPr>
      <w:r w:rsidRPr="00386EFF">
        <w:rPr>
          <w:rStyle w:val="FootnoteReference"/>
          <w:rFonts w:ascii="Times New Roman" w:hAnsi="Times New Roman" w:cs="Times New Roman"/>
        </w:rPr>
        <w:footnoteRef/>
      </w:r>
      <w:r w:rsidRPr="00386EFF">
        <w:rPr>
          <w:rFonts w:ascii="Times New Roman" w:hAnsi="Times New Roman" w:cs="Times New Roman"/>
        </w:rPr>
        <w:t xml:space="preserve"> </w:t>
      </w:r>
      <w:r w:rsidRPr="00386EFF">
        <w:rPr>
          <w:rFonts w:ascii="Times New Roman" w:hAnsi="Times New Roman" w:cs="Times New Roman"/>
          <w:i/>
          <w:iCs/>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3607E" w14:paraId="6034DEC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3607E" w14:paraId="0B1C90F7"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3607E" w14:paraId="4CE828D0"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E30011E"/>
    <w:multiLevelType w:val="hybridMultilevel"/>
    <w:tmpl w:val="03BA37AC"/>
    <w:lvl w:ilvl="0">
      <w:start w:val="1"/>
      <w:numFmt w:val="decimal"/>
      <w:lvlText w:val="%1."/>
      <w:lvlJc w:val="left"/>
      <w:pPr>
        <w:ind w:left="720" w:hanging="360"/>
      </w:pPr>
      <w:rPr>
        <w:rFonts w:hint="default"/>
        <w:i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67237C56"/>
    <w:multiLevelType w:val="hybridMultilevel"/>
    <w:tmpl w:val="C86430B8"/>
    <w:lvl w:ilvl="0">
      <w:start w:val="1"/>
      <w:numFmt w:val="upperRoman"/>
      <w:lvlText w:val="%1."/>
      <w:lvlJc w:val="right"/>
      <w:pPr>
        <w:ind w:left="720" w:hanging="360"/>
      </w:pPr>
      <w:rPr>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73764C2B"/>
    <w:multiLevelType w:val="multilevel"/>
    <w:tmpl w:val="A8C2A296"/>
    <w:lvl w:ilvl="0">
      <w:start w:val="4"/>
      <w:numFmt w:val="decimal"/>
      <w:lvlText w:val="%1"/>
      <w:lvlJc w:val="left"/>
      <w:pPr>
        <w:ind w:left="823" w:hanging="432"/>
      </w:pPr>
    </w:lvl>
    <w:lvl w:ilvl="1">
      <w:start w:val="1"/>
      <w:numFmt w:val="decimal"/>
      <w:lvlText w:val="%1.%2."/>
      <w:lvlJc w:val="left"/>
      <w:pPr>
        <w:ind w:left="823" w:hanging="432"/>
      </w:pPr>
      <w:rPr>
        <w:rFonts w:ascii="Arial" w:eastAsia="Arial" w:hAnsi="Arial" w:cs="Times New Roman" w:hint="default"/>
        <w:b/>
        <w:bCs/>
        <w:color w:val="00AEC7"/>
        <w:spacing w:val="-1"/>
        <w:sz w:val="22"/>
        <w:szCs w:val="22"/>
      </w:rPr>
    </w:lvl>
    <w:lvl w:ilvl="2">
      <w:start w:val="1"/>
      <w:numFmt w:val="bullet"/>
      <w:lvlText w:val=""/>
      <w:lvlJc w:val="left"/>
      <w:pPr>
        <w:ind w:left="1055" w:hanging="361"/>
      </w:pPr>
      <w:rPr>
        <w:rFonts w:ascii="Wingdings" w:eastAsia="Wingdings" w:hAnsi="Wingdings" w:hint="default"/>
        <w:color w:val="5B6770"/>
        <w:sz w:val="21"/>
        <w:szCs w:val="21"/>
      </w:rPr>
    </w:lvl>
    <w:lvl w:ilvl="3">
      <w:start w:val="1"/>
      <w:numFmt w:val="bullet"/>
      <w:lvlText w:val="-"/>
      <w:lvlJc w:val="left"/>
      <w:pPr>
        <w:ind w:left="1343" w:hanging="360"/>
      </w:pPr>
      <w:rPr>
        <w:rFonts w:ascii="Courier New" w:eastAsia="Courier New" w:hAnsi="Courier New" w:cs="Times New Roman" w:hint="default"/>
        <w:color w:val="5B6770"/>
        <w:sz w:val="21"/>
        <w:szCs w:val="21"/>
      </w:rPr>
    </w:lvl>
    <w:lvl w:ilvl="4">
      <w:start w:val="1"/>
      <w:numFmt w:val="bullet"/>
      <w:lvlText w:val="•"/>
      <w:lvlJc w:val="left"/>
      <w:pPr>
        <w:ind w:left="1323" w:hanging="360"/>
      </w:pPr>
    </w:lvl>
    <w:lvl w:ilvl="5">
      <w:start w:val="1"/>
      <w:numFmt w:val="bullet"/>
      <w:lvlText w:val="•"/>
      <w:lvlJc w:val="left"/>
      <w:pPr>
        <w:ind w:left="1323" w:hanging="360"/>
      </w:pPr>
    </w:lvl>
    <w:lvl w:ilvl="6">
      <w:start w:val="1"/>
      <w:numFmt w:val="bullet"/>
      <w:lvlText w:val="•"/>
      <w:lvlJc w:val="left"/>
      <w:pPr>
        <w:ind w:left="1343" w:hanging="360"/>
      </w:pPr>
    </w:lvl>
    <w:lvl w:ilvl="7">
      <w:start w:val="1"/>
      <w:numFmt w:val="bullet"/>
      <w:lvlText w:val="•"/>
      <w:lvlJc w:val="left"/>
      <w:pPr>
        <w:ind w:left="1343" w:hanging="360"/>
      </w:pPr>
    </w:lvl>
    <w:lvl w:ilvl="8">
      <w:start w:val="1"/>
      <w:numFmt w:val="bullet"/>
      <w:lvlText w:val="•"/>
      <w:lvlJc w:val="left"/>
      <w:pPr>
        <w:ind w:left="1344" w:hanging="360"/>
      </w:pPr>
    </w:lvl>
  </w:abstractNum>
  <w:abstractNum w:abstractNumId="3">
    <w:nsid w:val="77333041"/>
    <w:multiLevelType w:val="hybridMultilevel"/>
    <w:tmpl w:val="A8381296"/>
    <w:lvl w:ilvl="0">
      <w:start w:val="1"/>
      <w:numFmt w:val="upperRoman"/>
      <w:lvlText w:val="%1."/>
      <w:lvlJc w:val="left"/>
      <w:pPr>
        <w:ind w:left="1440" w:hanging="72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3"/>
  </w:num>
  <w:num w:numId="2">
    <w:abstractNumId w:val="1"/>
  </w:num>
  <w:num w:numId="3">
    <w:abstractNumId w:val="0"/>
  </w:num>
  <w:num w:numId="4">
    <w:abstractNumId w:val="2"/>
    <w:lvlOverride w:ilvl="0">
      <w:startOverride w:val="4"/>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7BA"/>
    <w:rsid w:val="0000529E"/>
    <w:rsid w:val="00010F11"/>
    <w:rsid w:val="000217EC"/>
    <w:rsid w:val="00027C77"/>
    <w:rsid w:val="0003152B"/>
    <w:rsid w:val="0004086A"/>
    <w:rsid w:val="0006181D"/>
    <w:rsid w:val="00075018"/>
    <w:rsid w:val="00081603"/>
    <w:rsid w:val="000A52C6"/>
    <w:rsid w:val="000D028C"/>
    <w:rsid w:val="000D7F78"/>
    <w:rsid w:val="000F135B"/>
    <w:rsid w:val="0011128B"/>
    <w:rsid w:val="00114D35"/>
    <w:rsid w:val="00127220"/>
    <w:rsid w:val="00131F0B"/>
    <w:rsid w:val="0013607E"/>
    <w:rsid w:val="00140167"/>
    <w:rsid w:val="00195120"/>
    <w:rsid w:val="001B56FF"/>
    <w:rsid w:val="001D0DE5"/>
    <w:rsid w:val="001E3155"/>
    <w:rsid w:val="001E6092"/>
    <w:rsid w:val="0020007B"/>
    <w:rsid w:val="00234281"/>
    <w:rsid w:val="00237FDB"/>
    <w:rsid w:val="002542E7"/>
    <w:rsid w:val="00262329"/>
    <w:rsid w:val="0027537C"/>
    <w:rsid w:val="00286184"/>
    <w:rsid w:val="002A48D9"/>
    <w:rsid w:val="002B18DB"/>
    <w:rsid w:val="002E25A1"/>
    <w:rsid w:val="00305D45"/>
    <w:rsid w:val="00325766"/>
    <w:rsid w:val="00386EFF"/>
    <w:rsid w:val="003D19E2"/>
    <w:rsid w:val="003E7681"/>
    <w:rsid w:val="00412668"/>
    <w:rsid w:val="0043339D"/>
    <w:rsid w:val="00434C6A"/>
    <w:rsid w:val="00445B54"/>
    <w:rsid w:val="00455638"/>
    <w:rsid w:val="00471DC3"/>
    <w:rsid w:val="00481067"/>
    <w:rsid w:val="00487369"/>
    <w:rsid w:val="004B0CCE"/>
    <w:rsid w:val="004B6CCC"/>
    <w:rsid w:val="004C046B"/>
    <w:rsid w:val="004C293A"/>
    <w:rsid w:val="004D3FA6"/>
    <w:rsid w:val="004E3922"/>
    <w:rsid w:val="004F776B"/>
    <w:rsid w:val="00503348"/>
    <w:rsid w:val="00513402"/>
    <w:rsid w:val="005166CD"/>
    <w:rsid w:val="00526655"/>
    <w:rsid w:val="00531610"/>
    <w:rsid w:val="00531B7B"/>
    <w:rsid w:val="00533D65"/>
    <w:rsid w:val="005718BA"/>
    <w:rsid w:val="00577CC7"/>
    <w:rsid w:val="005854D0"/>
    <w:rsid w:val="005B10CB"/>
    <w:rsid w:val="005C15A9"/>
    <w:rsid w:val="005C6292"/>
    <w:rsid w:val="005D3208"/>
    <w:rsid w:val="005E2CF3"/>
    <w:rsid w:val="005E42A0"/>
    <w:rsid w:val="005F5F4D"/>
    <w:rsid w:val="005F7A14"/>
    <w:rsid w:val="00601EF5"/>
    <w:rsid w:val="0061076E"/>
    <w:rsid w:val="00616003"/>
    <w:rsid w:val="00625ED8"/>
    <w:rsid w:val="00631B0D"/>
    <w:rsid w:val="006353EE"/>
    <w:rsid w:val="00636BA3"/>
    <w:rsid w:val="00655F38"/>
    <w:rsid w:val="006624FD"/>
    <w:rsid w:val="00680569"/>
    <w:rsid w:val="00696E7E"/>
    <w:rsid w:val="006A06D1"/>
    <w:rsid w:val="006A31CF"/>
    <w:rsid w:val="006A7C2A"/>
    <w:rsid w:val="006E4685"/>
    <w:rsid w:val="00711217"/>
    <w:rsid w:val="00716E52"/>
    <w:rsid w:val="0074714A"/>
    <w:rsid w:val="007523A4"/>
    <w:rsid w:val="00765848"/>
    <w:rsid w:val="007665E1"/>
    <w:rsid w:val="00771CD3"/>
    <w:rsid w:val="00790307"/>
    <w:rsid w:val="007B2E7F"/>
    <w:rsid w:val="007B7755"/>
    <w:rsid w:val="007D29D9"/>
    <w:rsid w:val="007D44D2"/>
    <w:rsid w:val="007E51A5"/>
    <w:rsid w:val="007F6E20"/>
    <w:rsid w:val="0082034A"/>
    <w:rsid w:val="00853C85"/>
    <w:rsid w:val="00865600"/>
    <w:rsid w:val="00865686"/>
    <w:rsid w:val="008C052E"/>
    <w:rsid w:val="008E3B1F"/>
    <w:rsid w:val="00902B6F"/>
    <w:rsid w:val="00907CF9"/>
    <w:rsid w:val="009268D0"/>
    <w:rsid w:val="00940B15"/>
    <w:rsid w:val="009526C6"/>
    <w:rsid w:val="0098244C"/>
    <w:rsid w:val="0098626E"/>
    <w:rsid w:val="009A46BF"/>
    <w:rsid w:val="009C3CF2"/>
    <w:rsid w:val="009C6FAE"/>
    <w:rsid w:val="009D4B01"/>
    <w:rsid w:val="009E578F"/>
    <w:rsid w:val="00A02134"/>
    <w:rsid w:val="00A1493B"/>
    <w:rsid w:val="00A26818"/>
    <w:rsid w:val="00A35DE0"/>
    <w:rsid w:val="00A55C19"/>
    <w:rsid w:val="00A71110"/>
    <w:rsid w:val="00A80998"/>
    <w:rsid w:val="00A8753E"/>
    <w:rsid w:val="00A911AB"/>
    <w:rsid w:val="00AA2013"/>
    <w:rsid w:val="00AA3A50"/>
    <w:rsid w:val="00AB6765"/>
    <w:rsid w:val="00AC2301"/>
    <w:rsid w:val="00AD2114"/>
    <w:rsid w:val="00AD6BA2"/>
    <w:rsid w:val="00AE0D0B"/>
    <w:rsid w:val="00B1178A"/>
    <w:rsid w:val="00B328D8"/>
    <w:rsid w:val="00B50153"/>
    <w:rsid w:val="00B571C9"/>
    <w:rsid w:val="00B84045"/>
    <w:rsid w:val="00B91884"/>
    <w:rsid w:val="00B958C7"/>
    <w:rsid w:val="00BC62F8"/>
    <w:rsid w:val="00BE4854"/>
    <w:rsid w:val="00BE5601"/>
    <w:rsid w:val="00BF1385"/>
    <w:rsid w:val="00BF3CA6"/>
    <w:rsid w:val="00C02306"/>
    <w:rsid w:val="00C06DC8"/>
    <w:rsid w:val="00C14ECA"/>
    <w:rsid w:val="00C253BE"/>
    <w:rsid w:val="00C32EEF"/>
    <w:rsid w:val="00C33D85"/>
    <w:rsid w:val="00C3674A"/>
    <w:rsid w:val="00C433BA"/>
    <w:rsid w:val="00C60D9A"/>
    <w:rsid w:val="00C74E75"/>
    <w:rsid w:val="00C81DBF"/>
    <w:rsid w:val="00C9235B"/>
    <w:rsid w:val="00C92968"/>
    <w:rsid w:val="00C95D8F"/>
    <w:rsid w:val="00CC15F3"/>
    <w:rsid w:val="00CC715C"/>
    <w:rsid w:val="00CE20B8"/>
    <w:rsid w:val="00CE3DB6"/>
    <w:rsid w:val="00CF4E54"/>
    <w:rsid w:val="00D4167B"/>
    <w:rsid w:val="00D6004D"/>
    <w:rsid w:val="00D63E5F"/>
    <w:rsid w:val="00D6572B"/>
    <w:rsid w:val="00D854E4"/>
    <w:rsid w:val="00D870AD"/>
    <w:rsid w:val="00DA49B1"/>
    <w:rsid w:val="00DB6024"/>
    <w:rsid w:val="00DC230A"/>
    <w:rsid w:val="00DC39CE"/>
    <w:rsid w:val="00DD3494"/>
    <w:rsid w:val="00DD6D7D"/>
    <w:rsid w:val="00DF65AF"/>
    <w:rsid w:val="00E07DBF"/>
    <w:rsid w:val="00E359CC"/>
    <w:rsid w:val="00E4396F"/>
    <w:rsid w:val="00E52B3F"/>
    <w:rsid w:val="00E56BB7"/>
    <w:rsid w:val="00E618A9"/>
    <w:rsid w:val="00E7086D"/>
    <w:rsid w:val="00E72DDB"/>
    <w:rsid w:val="00E7704E"/>
    <w:rsid w:val="00EC189F"/>
    <w:rsid w:val="00ED6DAA"/>
    <w:rsid w:val="00EE2B0F"/>
    <w:rsid w:val="00EE5486"/>
    <w:rsid w:val="00F52324"/>
    <w:rsid w:val="00F53FDB"/>
    <w:rsid w:val="00F649DD"/>
    <w:rsid w:val="00F7424F"/>
    <w:rsid w:val="00F85E7A"/>
    <w:rsid w:val="00FA4E6C"/>
    <w:rsid w:val="00FB3B34"/>
    <w:rsid w:val="00FC0291"/>
    <w:rsid w:val="00FD11C8"/>
    <w:rsid w:val="00FD27BA"/>
    <w:rsid w:val="00FD2939"/>
    <w:rsid w:val="00FD565D"/>
    <w:rsid w:val="00FD7D82"/>
    <w:rsid w:val="00FE365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66BF3BD6-D003-47E6-8E84-300D7797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7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27BA"/>
    <w:pPr>
      <w:ind w:left="720"/>
      <w:contextualSpacing/>
    </w:pPr>
  </w:style>
  <w:style w:type="paragraph" w:styleId="FootnoteText">
    <w:name w:val="footnote text"/>
    <w:basedOn w:val="Normal"/>
    <w:link w:val="FootnoteTextChar"/>
    <w:uiPriority w:val="99"/>
    <w:semiHidden/>
    <w:unhideWhenUsed/>
    <w:rsid w:val="004B6C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6CCC"/>
    <w:rPr>
      <w:sz w:val="20"/>
      <w:szCs w:val="20"/>
    </w:rPr>
  </w:style>
  <w:style w:type="character" w:styleId="FootnoteReference">
    <w:name w:val="footnote reference"/>
    <w:basedOn w:val="DefaultParagraphFont"/>
    <w:uiPriority w:val="99"/>
    <w:semiHidden/>
    <w:unhideWhenUsed/>
    <w:rsid w:val="004B6CCC"/>
    <w:rPr>
      <w:vertAlign w:val="superscript"/>
    </w:rPr>
  </w:style>
  <w:style w:type="character" w:styleId="Hyperlink">
    <w:name w:val="Hyperlink"/>
    <w:basedOn w:val="DefaultParagraphFont"/>
    <w:uiPriority w:val="99"/>
    <w:unhideWhenUsed/>
    <w:rsid w:val="004B6CCC"/>
    <w:rPr>
      <w:color w:val="0000FF" w:themeColor="hyperlink"/>
      <w:u w:val="single"/>
    </w:rPr>
  </w:style>
  <w:style w:type="paragraph" w:styleId="Header">
    <w:name w:val="header"/>
    <w:basedOn w:val="Normal"/>
    <w:link w:val="HeaderChar"/>
    <w:uiPriority w:val="99"/>
    <w:unhideWhenUsed/>
    <w:rsid w:val="007B2E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2E7F"/>
  </w:style>
  <w:style w:type="paragraph" w:styleId="Footer">
    <w:name w:val="footer"/>
    <w:basedOn w:val="Normal"/>
    <w:link w:val="FooterChar"/>
    <w:uiPriority w:val="99"/>
    <w:unhideWhenUsed/>
    <w:rsid w:val="007B2E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2E7F"/>
  </w:style>
  <w:style w:type="character" w:styleId="CommentReference">
    <w:name w:val="annotation reference"/>
    <w:basedOn w:val="DefaultParagraphFont"/>
    <w:uiPriority w:val="99"/>
    <w:semiHidden/>
    <w:unhideWhenUsed/>
    <w:rsid w:val="00CF4E54"/>
    <w:rPr>
      <w:sz w:val="16"/>
      <w:szCs w:val="16"/>
    </w:rPr>
  </w:style>
  <w:style w:type="paragraph" w:styleId="CommentText">
    <w:name w:val="annotation text"/>
    <w:basedOn w:val="Normal"/>
    <w:link w:val="CommentTextChar"/>
    <w:uiPriority w:val="99"/>
    <w:semiHidden/>
    <w:unhideWhenUsed/>
    <w:rsid w:val="00CF4E54"/>
    <w:pPr>
      <w:spacing w:line="240" w:lineRule="auto"/>
    </w:pPr>
    <w:rPr>
      <w:sz w:val="20"/>
      <w:szCs w:val="20"/>
    </w:rPr>
  </w:style>
  <w:style w:type="character" w:customStyle="1" w:styleId="CommentTextChar">
    <w:name w:val="Comment Text Char"/>
    <w:basedOn w:val="DefaultParagraphFont"/>
    <w:link w:val="CommentText"/>
    <w:uiPriority w:val="99"/>
    <w:semiHidden/>
    <w:rsid w:val="00CF4E54"/>
    <w:rPr>
      <w:sz w:val="20"/>
      <w:szCs w:val="20"/>
    </w:rPr>
  </w:style>
  <w:style w:type="paragraph" w:styleId="CommentSubject">
    <w:name w:val="annotation subject"/>
    <w:basedOn w:val="CommentText"/>
    <w:next w:val="CommentText"/>
    <w:link w:val="CommentSubjectChar"/>
    <w:uiPriority w:val="99"/>
    <w:semiHidden/>
    <w:unhideWhenUsed/>
    <w:rsid w:val="00CF4E54"/>
    <w:rPr>
      <w:b/>
      <w:bCs/>
    </w:rPr>
  </w:style>
  <w:style w:type="character" w:customStyle="1" w:styleId="CommentSubjectChar">
    <w:name w:val="Comment Subject Char"/>
    <w:basedOn w:val="CommentTextChar"/>
    <w:link w:val="CommentSubject"/>
    <w:uiPriority w:val="99"/>
    <w:semiHidden/>
    <w:rsid w:val="00CF4E54"/>
    <w:rPr>
      <w:b/>
      <w:bCs/>
      <w:sz w:val="20"/>
      <w:szCs w:val="20"/>
    </w:rPr>
  </w:style>
  <w:style w:type="paragraph" w:styleId="BalloonText">
    <w:name w:val="Balloon Text"/>
    <w:basedOn w:val="Normal"/>
    <w:link w:val="BalloonTextChar"/>
    <w:uiPriority w:val="99"/>
    <w:semiHidden/>
    <w:unhideWhenUsed/>
    <w:rsid w:val="00CF4E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4E54"/>
    <w:rPr>
      <w:rFonts w:ascii="Tahoma" w:hAnsi="Tahoma" w:cs="Tahoma"/>
      <w:sz w:val="16"/>
      <w:szCs w:val="16"/>
    </w:rPr>
  </w:style>
  <w:style w:type="character" w:styleId="FollowedHyperlink">
    <w:name w:val="FollowedHyperlink"/>
    <w:basedOn w:val="DefaultParagraphFont"/>
    <w:uiPriority w:val="99"/>
    <w:semiHidden/>
    <w:unhideWhenUsed/>
    <w:rsid w:val="00127220"/>
    <w:rPr>
      <w:color w:val="800080" w:themeColor="followedHyperlink"/>
      <w:u w:val="single"/>
    </w:rPr>
  </w:style>
  <w:style w:type="character" w:customStyle="1" w:styleId="UnresolvedMention1">
    <w:name w:val="Unresolved Mention1"/>
    <w:basedOn w:val="DefaultParagraphFont"/>
    <w:uiPriority w:val="99"/>
    <w:semiHidden/>
    <w:unhideWhenUsed/>
    <w:rsid w:val="007D29D9"/>
    <w:rPr>
      <w:color w:val="605E5C"/>
      <w:shd w:val="clear" w:color="auto" w:fill="E1DFDD"/>
    </w:rPr>
  </w:style>
  <w:style w:type="character" w:customStyle="1" w:styleId="DocID">
    <w:name w:val="DocID"/>
    <w:basedOn w:val="DefaultParagraphFont"/>
    <w:rsid w:val="00FD7D82"/>
    <w:rPr>
      <w:rFonts w:ascii="Times New Roman" w:hAnsi="Times New Roman" w:cs="Times New Roman"/>
      <w:b w:val="0"/>
      <w:i w:val="0"/>
      <w:caps w:val="0"/>
      <w:vanish w:val="0"/>
      <w:color w:val="000000"/>
      <w:sz w:val="18"/>
      <w:szCs w:val="24"/>
      <w:u w:val="none"/>
    </w:rPr>
  </w:style>
  <w:style w:type="character" w:customStyle="1" w:styleId="UnresolvedMention2">
    <w:name w:val="Unresolved Mention2"/>
    <w:basedOn w:val="DefaultParagraphFont"/>
    <w:uiPriority w:val="99"/>
    <w:semiHidden/>
    <w:unhideWhenUsed/>
    <w:rsid w:val="00A149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1016</Words>
  <Characters>5808</Characters>
  <Application>Microsoft Office Word</Application>
  <DocSecurity>0</DocSecurity>
  <Lines>47</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